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oter1.xml" ContentType="application/vnd.openxmlformats-officedocument.wordprocessingml.footer+xml"/>
  <Override PartName="/word/settings.xml" ContentType="application/vnd.openxmlformats-officedocument.wordprocessingml.settings+xml"/>
  <Override PartName="/docProps/core.xml" ContentType="application/vnd.openxmlformats-package.core-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w:body>
    <w:p>
      <w:pPr>
        <w:pStyle w:val="Ttulo1"/>
      </w:pPr>
      <w:r>
        <w:rPr>
          <w:rFonts w:ascii="Times New Roman" w:hAnsi="Times New Roman" w:cs="Times New Roman"/>
          <w:b/>
          <w:bCs/>
        </w:rPr>
        <w:t xml:space="preserve">Capítulo de Pruebas del Sistema</w:t>
      </w:r>
    </w:p>
    <w:p>
      <w:pPr>
        <w:spacing w:after="240"/>
        <w:jc w:val="both"/>
      </w:pPr>
      <w:r>
        <w:rPr>
          <w:rFonts w:ascii="Times New Roman" w:hAnsi="Times New Roman" w:cs="Times New Roman"/>
          <w:color w:val="595959"/>
        </w:rPr>
        <w:t xml:space="preserve">Seipo — Sistema de venta e inventario. Pruebas automatizadas de caja negra ejecutadas el 19/10/2026.</w:t>
      </w:r>
    </w:p>
    <w:p>
      <w:pPr>
        <w:pStyle w:val="Ttulo2"/>
      </w:pPr>
      <w:r>
        <w:rPr>
          <w:rFonts w:ascii="Times New Roman" w:hAnsi="Times New Roman" w:cs="Times New Roman"/>
          <w:b/>
          <w:bCs/>
        </w:rPr>
        <w:t xml:space="preserve">1. Objetivo y alcance</w:t>
      </w:r>
    </w:p>
    <w:p>
      <w:pPr>
        <w:spacing w:after="120"/>
        <w:jc w:val="both"/>
      </w:pPr>
      <w:r>
        <w:rPr>
          <w:rFonts w:ascii="Times New Roman" w:hAnsi="Times New Roman" w:cs="Times New Roman"/>
        </w:rPr>
        <w:t xml:space="preserve">Verificar con pruebas automatizadas que Seipo cumple las reglas de negocio descritas en este documento en sus procesos principales: acceso y roles, turno de caja, venta con IGV y redondeo, descuento VIP, FEFO, forma de pago, comprobantes, anulación, mermas, compras, cierre de caja y reportes. Se ejecutaron 15 casos de prueba (CP-01 a CP-15) sobre la lógica de negocio y la base de datos. La interfaz gráfica solo se usó para comprobar qué módulos ve cada rol.</w:t>
      </w:r>
    </w:p>
    <w:p>
      <w:pPr>
        <w:pStyle w:val="Ttulo2"/>
      </w:pPr>
      <w:r>
        <w:rPr>
          <w:rFonts w:ascii="Times New Roman" w:hAnsi="Times New Roman" w:cs="Times New Roman"/>
          <w:b/>
          <w:bCs/>
        </w:rPr>
        <w:t xml:space="preserve">2. Estrategia de pruebas</w:t>
      </w:r>
    </w:p>
    <w:p>
      <w:pPr>
        <w:pStyle w:val="Prrafodelista"/>
        <w:numPr>
          <w:ilvl w:val="0"/>
          <w:numId w:val="1"/>
        </w:numPr>
        <w:spacing w:after="60"/>
        <w:jc w:val="both"/>
      </w:pPr>
      <w:r>
        <w:rPr>
          <w:rFonts w:ascii="Times New Roman" w:hAnsi="Times New Roman" w:cs="Times New Roman"/>
          <w:b/>
          <w:bCs/>
        </w:rPr>
        <w:t xml:space="preserve">Caja negra: </w:t>
      </w:r>
      <w:r>
        <w:rPr>
          <w:rFonts w:ascii="Times New Roman" w:hAnsi="Times New Roman" w:cs="Times New Roman"/>
        </w:rPr>
        <w:t xml:space="preserve">cada resultado esperado se fijó con la regla de negocio del documento, no con lo que hace el código. Si el código y el documento no coinciden, la diferencia se registra como defecto.</w:t>
      </w:r>
    </w:p>
    <w:p>
      <w:pPr>
        <w:pStyle w:val="Prrafodelista"/>
        <w:numPr>
          <w:ilvl w:val="0"/>
          <w:numId w:val="1"/>
        </w:numPr>
        <w:spacing w:after="60"/>
        <w:jc w:val="both"/>
      </w:pPr>
      <w:r>
        <w:rPr>
          <w:rFonts w:ascii="Times New Roman" w:hAnsi="Times New Roman" w:cs="Times New Roman"/>
          <w:b/>
          <w:bCs/>
        </w:rPr>
        <w:t xml:space="preserve">Partición en clases de equivalencia: </w:t>
      </w:r>
      <w:r>
        <w:rPr>
          <w:rFonts w:ascii="Times New Roman" w:hAnsi="Times New Roman" w:cs="Times New Roman"/>
        </w:rPr>
        <w:t xml:space="preserve">se probaron clases válidas e inválidas (credenciales correctas y erradas, venta con y sin turno, forma de pago admitida y no admitida, cliente con RUC, con DNI y sin documento, merma aprobada y rechazada, administrador y personal).</w:t>
      </w:r>
    </w:p>
    <w:p>
      <w:pPr>
        <w:pStyle w:val="Prrafodelista"/>
        <w:numPr>
          <w:ilvl w:val="0"/>
          <w:numId w:val="1"/>
        </w:numPr>
        <w:spacing w:after="60"/>
        <w:jc w:val="both"/>
      </w:pPr>
      <w:r>
        <w:rPr>
          <w:rFonts w:ascii="Times New Roman" w:hAnsi="Times New Roman" w:cs="Times New Roman"/>
          <w:b/>
          <w:bCs/>
        </w:rPr>
        <w:t xml:space="preserve">Valores límite: </w:t>
      </w:r>
      <w:r>
        <w:rPr>
          <w:rFonts w:ascii="Times New Roman" w:hAnsi="Times New Roman" w:cs="Times New Roman"/>
        </w:rPr>
        <w:t xml:space="preserve">stock exacto y stock + 1, umbral de compras del descuento VIP y una compra por debajo, efectivo contado por debajo y por encima del esperado, producto en el mínimo de stock y un precio que activa el redondeo a 10 céntimos.</w:t>
      </w:r>
    </w:p>
    <w:p>
      <w:pPr>
        <w:pStyle w:val="Prrafodelista"/>
        <w:numPr>
          <w:ilvl w:val="0"/>
          <w:numId w:val="1"/>
        </w:numPr>
        <w:spacing w:after="60"/>
        <w:jc w:val="both"/>
      </w:pPr>
      <w:r>
        <w:rPr>
          <w:rFonts w:ascii="Times New Roman" w:hAnsi="Times New Roman" w:cs="Times New Roman"/>
          <w:b/>
          <w:bCs/>
        </w:rPr>
        <w:t xml:space="preserve">Independencia: </w:t>
      </w:r>
      <w:r>
        <w:rPr>
          <w:rFonts w:ascii="Times New Roman" w:hAnsi="Times New Roman" w:cs="Times New Roman"/>
        </w:rPr>
        <w:t xml:space="preserve">antes de la primera prueba, la base seipo_test se crea desde la copia de la base de datos, y después de cada prueba se vuelve a cargar. Cada caso empieza con los mismos datos y la base de producción nunca se usa.</w:t>
      </w:r>
    </w:p>
    <w:p>
      <w:pPr>
        <w:pStyle w:val="Ttulo2"/>
      </w:pPr>
      <w:r>
        <w:rPr>
          <w:rFonts w:ascii="Times New Roman" w:hAnsi="Times New Roman" w:cs="Times New Roman"/>
          <w:b/>
          <w:bCs/>
        </w:rPr>
        <w:t xml:space="preserve">3. Entorno</w:t>
      </w:r>
    </w:p>
    <w:tbl>
      <w:tblPr>
        <w:tblW w:w="1004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10" w:type="dxa"/>
          <w:right w:w="10" w:type="dxa"/>
        </w:tblCellMar>
        <w:tblLook w:val="04A0" w:firstRow="1" w:lastRow="0" w:firstColumn="1" w:lastColumn="0" w:noHBand="0" w:noVBand="1"/>
      </w:tblPr>
      <w:tblGrid>
        <w:gridCol w:w="3012"/>
        <w:gridCol w:w="7028"/>
      </w:tblGrid>
      <w:tr>
        <w:trPr>
          <w:tblHeader/>
          <w:cantSplit/>
        </w:trPr>
        <w:tc>
          <w:tcPr>
            <w:tcW w:w="3012" w:type="dxa"/>
            <w:shd w:val="clear" w:color="auto" w:fill="D9D9D9"/>
            <w:tcMar>
              <w:top w:w="60" w:type="dxa"/>
              <w:left w:w="80" w:type="dxa"/>
              <w:bottom w:w="60" w:type="dxa"/>
              <w:right w:w="80" w:type="dxa"/>
            </w:tcMar>
            <w:vAlign w:val="center"/>
          </w:tcPr>
          <w:p>
            <w:pPr>
              <w:spacing w:after="0" w:line="240" w:lineRule="auto"/>
            </w:pPr>
            <w:r>
              <w:rPr>
                <w:rFonts w:ascii="Times New Roman" w:hAnsi="Times New Roman" w:cs="Times New Roman"/>
                <w:b/>
                <w:bCs/>
                <w:sz w:val="20"/>
                <w:szCs w:val="20"/>
              </w:rPr>
              <w:t xml:space="preserve">Elemento</w:t>
            </w:r>
          </w:p>
        </w:tc>
        <w:tc>
          <w:tcPr>
            <w:tcW w:w="7028" w:type="dxa"/>
            <w:shd w:val="clear" w:color="auto" w:fill="D9D9D9"/>
            <w:tcMar>
              <w:top w:w="60" w:type="dxa"/>
              <w:left w:w="80" w:type="dxa"/>
              <w:bottom w:w="60" w:type="dxa"/>
              <w:right w:w="80" w:type="dxa"/>
            </w:tcMar>
            <w:vAlign w:val="center"/>
          </w:tcPr>
          <w:p>
            <w:pPr>
              <w:spacing w:after="0" w:line="240" w:lineRule="auto"/>
            </w:pPr>
            <w:r>
              <w:rPr>
                <w:rFonts w:ascii="Times New Roman" w:hAnsi="Times New Roman" w:cs="Times New Roman"/>
                <w:b/>
                <w:bCs/>
                <w:sz w:val="20"/>
                <w:szCs w:val="20"/>
              </w:rPr>
              <w:t xml:space="preserve">Detalle</w:t>
            </w:r>
          </w:p>
        </w:tc>
      </w:tr>
      <w:tr>
        <w:trPr>
          <w:cantSplit/>
        </w:trPr>
        <w:tc>
          <w:tcPr>
            <w:tcW w:w="3012" w:type="dxa"/>
            <w:tcMar>
              <w:top w:w="60" w:type="dxa"/>
              <w:left w:w="80" w:type="dxa"/>
              <w:bottom w:w="60" w:type="dxa"/>
              <w:right w:w="80" w:type="dxa"/>
            </w:tcMar>
            <w:vAlign w:val="center"/>
          </w:tcPr>
          <w:p>
            <w:pPr>
              <w:spacing w:after="0" w:line="240" w:lineRule="auto"/>
            </w:pPr>
            <w:r>
              <w:rPr>
                <w:rFonts w:ascii="Times New Roman" w:hAnsi="Times New Roman" w:cs="Times New Roman"/>
                <w:b/>
                <w:bCs/>
                <w:sz w:val="20"/>
                <w:szCs w:val="20"/>
              </w:rPr>
              <w:t xml:space="preserve">Base de datos</w:t>
            </w:r>
          </w:p>
        </w:tc>
        <w:tc>
          <w:tcPr>
            <w:tcW w:w="7028" w:type="dxa"/>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MariaDB 12.3.3 (servicio de Windows), base seipo_test, usuario seipo</w:t>
            </w:r>
          </w:p>
        </w:tc>
      </w:tr>
      <w:tr>
        <w:trPr>
          <w:cantSplit/>
        </w:trPr>
        <w:tc>
          <w:tcPr>
            <w:tcW w:w="3012" w:type="dxa"/>
            <w:shd w:val="clear" w:color="auto" w:fill="F2F2F2"/>
            <w:tcMar>
              <w:top w:w="60" w:type="dxa"/>
              <w:left w:w="80" w:type="dxa"/>
              <w:bottom w:w="60" w:type="dxa"/>
              <w:right w:w="80" w:type="dxa"/>
            </w:tcMar>
            <w:vAlign w:val="center"/>
          </w:tcPr>
          <w:p>
            <w:pPr>
              <w:spacing w:after="0" w:line="240" w:lineRule="auto"/>
            </w:pPr>
            <w:r>
              <w:rPr>
                <w:rFonts w:ascii="Times New Roman" w:hAnsi="Times New Roman" w:cs="Times New Roman"/>
                <w:b/>
                <w:bCs/>
                <w:sz w:val="20"/>
                <w:szCs w:val="20"/>
              </w:rPr>
              <w:t xml:space="preserve">Pruebas</w:t>
            </w:r>
          </w:p>
        </w:tc>
        <w:tc>
          <w:tcPr>
            <w:tcW w:w="7028" w:type="dxa"/>
            <w:shd w:val="clear" w:color="auto" w:fill="F2F2F2"/>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JUnit 5.12.2 (Jupiter); 15 casos en SEIPO/test/seipo/pruebas/</w:t>
            </w:r>
          </w:p>
        </w:tc>
      </w:tr>
      <w:tr>
        <w:trPr>
          <w:cantSplit/>
        </w:trPr>
        <w:tc>
          <w:tcPr>
            <w:tcW w:w="3012" w:type="dxa"/>
            <w:tcMar>
              <w:top w:w="60" w:type="dxa"/>
              <w:left w:w="80" w:type="dxa"/>
              <w:bottom w:w="60" w:type="dxa"/>
              <w:right w:w="80" w:type="dxa"/>
            </w:tcMar>
            <w:vAlign w:val="center"/>
          </w:tcPr>
          <w:p>
            <w:pPr>
              <w:spacing w:after="0" w:line="240" w:lineRule="auto"/>
            </w:pPr>
            <w:r>
              <w:rPr>
                <w:rFonts w:ascii="Times New Roman" w:hAnsi="Times New Roman" w:cs="Times New Roman"/>
                <w:b/>
                <w:bCs/>
                <w:sz w:val="20"/>
                <w:szCs w:val="20"/>
              </w:rPr>
              <w:t xml:space="preserve">Java</w:t>
            </w:r>
          </w:p>
        </w:tc>
        <w:tc>
          <w:tcPr>
            <w:tcW w:w="7028" w:type="dxa"/>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JDK 25.0.3</w:t>
            </w:r>
          </w:p>
        </w:tc>
      </w:tr>
      <w:tr>
        <w:trPr>
          <w:cantSplit/>
        </w:trPr>
        <w:tc>
          <w:tcPr>
            <w:tcW w:w="3012" w:type="dxa"/>
            <w:shd w:val="clear" w:color="auto" w:fill="F2F2F2"/>
            <w:tcMar>
              <w:top w:w="60" w:type="dxa"/>
              <w:left w:w="80" w:type="dxa"/>
              <w:bottom w:w="60" w:type="dxa"/>
              <w:right w:w="80" w:type="dxa"/>
            </w:tcMar>
            <w:vAlign w:val="center"/>
          </w:tcPr>
          <w:p>
            <w:pPr>
              <w:spacing w:after="0" w:line="240" w:lineRule="auto"/>
            </w:pPr>
            <w:r>
              <w:rPr>
                <w:rFonts w:ascii="Times New Roman" w:hAnsi="Times New Roman" w:cs="Times New Roman"/>
                <w:b/>
                <w:bCs/>
                <w:sz w:val="20"/>
                <w:szCs w:val="20"/>
              </w:rPr>
              <w:t xml:space="preserve">Usuarios de demostración</w:t>
            </w:r>
          </w:p>
        </w:tc>
        <w:tc>
          <w:tcPr>
            <w:tcW w:w="7028" w:type="dxa"/>
            <w:shd w:val="clear" w:color="auto" w:fill="F2F2F2"/>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admin / 123 (administrador) y Personal1 / 890 (personal de tienda)</w:t>
            </w:r>
          </w:p>
        </w:tc>
      </w:tr>
      <w:tr>
        <w:trPr>
          <w:cantSplit/>
        </w:trPr>
        <w:tc>
          <w:tcPr>
            <w:tcW w:w="3012" w:type="dxa"/>
            <w:tcMar>
              <w:top w:w="60" w:type="dxa"/>
              <w:left w:w="80" w:type="dxa"/>
              <w:bottom w:w="60" w:type="dxa"/>
              <w:right w:w="80" w:type="dxa"/>
            </w:tcMar>
            <w:vAlign w:val="center"/>
          </w:tcPr>
          <w:p>
            <w:pPr>
              <w:spacing w:after="0" w:line="240" w:lineRule="auto"/>
            </w:pPr>
            <w:r>
              <w:rPr>
                <w:rFonts w:ascii="Times New Roman" w:hAnsi="Times New Roman" w:cs="Times New Roman"/>
                <w:b/>
                <w:bCs/>
                <w:sz w:val="20"/>
                <w:szCs w:val="20"/>
              </w:rPr>
              <w:t xml:space="preserve">Ejecución</w:t>
            </w:r>
          </w:p>
        </w:tc>
        <w:tc>
          <w:tcPr>
            <w:tcW w:w="7028" w:type="dxa"/>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Configuración «Pruebas SEIPO» en IntelliJ IDEA o pruebas.bat en la raíz del repositorio (unos 15 segundos)</w:t>
            </w:r>
          </w:p>
        </w:tc>
      </w:tr>
    </w:tbl>
    <w:p>
      <w:pPr>
        <w:spacing w:after="120"/>
      </w:pPr>
    </w:p>
    <w:p>
      <w:pPr>
        <w:pStyle w:val="Ttulo2"/>
      </w:pPr>
      <w:r>
        <w:rPr>
          <w:rFonts w:ascii="Times New Roman" w:hAnsi="Times New Roman" w:cs="Times New Roman"/>
          <w:b/>
          <w:bCs/>
        </w:rPr>
        <w:t xml:space="preserve">4. Casos de prueba</w:t>
      </w:r>
    </w:p>
    <w:p>
      <w:pPr>
        <w:spacing w:after="120"/>
        <w:jc w:val="both"/>
      </w:pPr>
      <w:r>
        <w:rPr>
          <w:rFonts w:ascii="Times New Roman" w:hAnsi="Times New Roman" w:cs="Times New Roman"/>
        </w:rPr>
        <w:t xml:space="preserve">Resultado final de cada caso (corrida 5).</w:t>
      </w:r>
    </w:p>
    <w:tbl>
      <w:tblPr>
        <w:tblW w:w="1004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10" w:type="dxa"/>
          <w:right w:w="10" w:type="dxa"/>
        </w:tblCellMar>
        <w:tblLook w:val="04A0" w:firstRow="1" w:lastRow="0" w:firstColumn="1" w:lastColumn="0" w:noHBand="0" w:noVBand="1"/>
      </w:tblPr>
      <w:tblGrid>
        <w:gridCol w:w="702"/>
        <w:gridCol w:w="1305"/>
        <w:gridCol w:w="2008"/>
        <w:gridCol w:w="2309"/>
        <w:gridCol w:w="2811"/>
        <w:gridCol w:w="905"/>
      </w:tblGrid>
      <w:tr>
        <w:trPr>
          <w:tblHeader/>
          <w:cantSplit/>
        </w:trPr>
        <w:tc>
          <w:tcPr>
            <w:tcW w:w="702" w:type="dxa"/>
            <w:shd w:val="clear" w:color="auto" w:fill="D9D9D9"/>
            <w:tcMar>
              <w:top w:w="60" w:type="dxa"/>
              <w:left w:w="80" w:type="dxa"/>
              <w:bottom w:w="60" w:type="dxa"/>
              <w:right w:w="80" w:type="dxa"/>
            </w:tcMar>
            <w:vAlign w:val="center"/>
          </w:tcPr>
          <w:p>
            <w:pPr>
              <w:spacing w:after="0" w:line="240" w:lineRule="auto"/>
            </w:pPr>
            <w:r>
              <w:rPr>
                <w:rFonts w:ascii="Times New Roman" w:hAnsi="Times New Roman" w:cs="Times New Roman"/>
                <w:b/>
                <w:bCs/>
                <w:sz w:val="17"/>
                <w:szCs w:val="17"/>
              </w:rPr>
              <w:t xml:space="preserve">ID</w:t>
            </w:r>
          </w:p>
        </w:tc>
        <w:tc>
          <w:tcPr>
            <w:tcW w:w="1305" w:type="dxa"/>
            <w:shd w:val="clear" w:color="auto" w:fill="D9D9D9"/>
            <w:tcMar>
              <w:top w:w="60" w:type="dxa"/>
              <w:left w:w="80" w:type="dxa"/>
              <w:bottom w:w="60" w:type="dxa"/>
              <w:right w:w="80" w:type="dxa"/>
            </w:tcMar>
            <w:vAlign w:val="center"/>
          </w:tcPr>
          <w:p>
            <w:pPr>
              <w:spacing w:after="0" w:line="240" w:lineRule="auto"/>
            </w:pPr>
            <w:r>
              <w:rPr>
                <w:rFonts w:ascii="Times New Roman" w:hAnsi="Times New Roman" w:cs="Times New Roman"/>
                <w:b/>
                <w:bCs/>
                <w:sz w:val="17"/>
                <w:szCs w:val="17"/>
              </w:rPr>
              <w:t xml:space="preserve">Proceso</w:t>
            </w:r>
          </w:p>
        </w:tc>
        <w:tc>
          <w:tcPr>
            <w:tcW w:w="2008" w:type="dxa"/>
            <w:shd w:val="clear" w:color="auto" w:fill="D9D9D9"/>
            <w:tcMar>
              <w:top w:w="60" w:type="dxa"/>
              <w:left w:w="80" w:type="dxa"/>
              <w:bottom w:w="60" w:type="dxa"/>
              <w:right w:w="80" w:type="dxa"/>
            </w:tcMar>
            <w:vAlign w:val="center"/>
          </w:tcPr>
          <w:p>
            <w:pPr>
              <w:spacing w:after="0" w:line="240" w:lineRule="auto"/>
            </w:pPr>
            <w:r>
              <w:rPr>
                <w:rFonts w:ascii="Times New Roman" w:hAnsi="Times New Roman" w:cs="Times New Roman"/>
                <w:b/>
                <w:bCs/>
                <w:sz w:val="17"/>
                <w:szCs w:val="17"/>
              </w:rPr>
              <w:t xml:space="preserve">Entrada</w:t>
            </w:r>
          </w:p>
        </w:tc>
        <w:tc>
          <w:tcPr>
            <w:tcW w:w="2309" w:type="dxa"/>
            <w:shd w:val="clear" w:color="auto" w:fill="D9D9D9"/>
            <w:tcMar>
              <w:top w:w="60" w:type="dxa"/>
              <w:left w:w="80" w:type="dxa"/>
              <w:bottom w:w="60" w:type="dxa"/>
              <w:right w:w="80" w:type="dxa"/>
            </w:tcMar>
            <w:vAlign w:val="center"/>
          </w:tcPr>
          <w:p>
            <w:pPr>
              <w:spacing w:after="0" w:line="240" w:lineRule="auto"/>
            </w:pPr>
            <w:r>
              <w:rPr>
                <w:rFonts w:ascii="Times New Roman" w:hAnsi="Times New Roman" w:cs="Times New Roman"/>
                <w:b/>
                <w:bCs/>
                <w:sz w:val="17"/>
                <w:szCs w:val="17"/>
              </w:rPr>
              <w:t xml:space="preserve">Resultado esperado</w:t>
            </w:r>
          </w:p>
        </w:tc>
        <w:tc>
          <w:tcPr>
            <w:tcW w:w="2811" w:type="dxa"/>
            <w:shd w:val="clear" w:color="auto" w:fill="D9D9D9"/>
            <w:tcMar>
              <w:top w:w="60" w:type="dxa"/>
              <w:left w:w="80" w:type="dxa"/>
              <w:bottom w:w="60" w:type="dxa"/>
              <w:right w:w="80" w:type="dxa"/>
            </w:tcMar>
            <w:vAlign w:val="center"/>
          </w:tcPr>
          <w:p>
            <w:pPr>
              <w:spacing w:after="0" w:line="240" w:lineRule="auto"/>
            </w:pPr>
            <w:r>
              <w:rPr>
                <w:rFonts w:ascii="Times New Roman" w:hAnsi="Times New Roman" w:cs="Times New Roman"/>
                <w:b/>
                <w:bCs/>
                <w:sz w:val="17"/>
                <w:szCs w:val="17"/>
              </w:rPr>
              <w:t xml:space="preserve">Resultado obtenido</w:t>
            </w:r>
          </w:p>
        </w:tc>
        <w:tc>
          <w:tcPr>
            <w:tcW w:w="905" w:type="dxa"/>
            <w:shd w:val="clear" w:color="auto" w:fill="D9D9D9"/>
            <w:tcMar>
              <w:top w:w="60" w:type="dxa"/>
              <w:left w:w="80" w:type="dxa"/>
              <w:bottom w:w="60" w:type="dxa"/>
              <w:right w:w="80" w:type="dxa"/>
            </w:tcMar>
            <w:vAlign w:val="center"/>
          </w:tcPr>
          <w:p>
            <w:pPr>
              <w:spacing w:after="0" w:line="240" w:lineRule="auto"/>
            </w:pPr>
            <w:r>
              <w:rPr>
                <w:rFonts w:ascii="Times New Roman" w:hAnsi="Times New Roman" w:cs="Times New Roman"/>
                <w:b/>
                <w:bCs/>
                <w:sz w:val="17"/>
                <w:szCs w:val="17"/>
              </w:rPr>
              <w:t xml:space="preserve">Estado</w:t>
            </w:r>
          </w:p>
        </w:tc>
      </w:tr>
      <w:tr>
        <w:trPr>
          <w:cantSplit/>
        </w:trPr>
        <w:tc>
          <w:tcPr>
            <w:tcW w:w="702" w:type="dxa"/>
            <w:tcMar>
              <w:top w:w="60" w:type="dxa"/>
              <w:left w:w="80" w:type="dxa"/>
              <w:bottom w:w="60" w:type="dxa"/>
              <w:right w:w="80" w:type="dxa"/>
            </w:tcMar>
            <w:vAlign w:val="center"/>
          </w:tcPr>
          <w:p>
            <w:pPr>
              <w:spacing w:after="0" w:line="240" w:lineRule="auto"/>
            </w:pPr>
            <w:r>
              <w:rPr>
                <w:rFonts w:ascii="Times New Roman" w:hAnsi="Times New Roman" w:cs="Times New Roman"/>
                <w:b/>
                <w:bCs/>
                <w:sz w:val="17"/>
                <w:szCs w:val="17"/>
              </w:rPr>
              <w:t xml:space="preserve">CP-01</w:t>
            </w:r>
          </w:p>
        </w:tc>
        <w:tc>
          <w:tcPr>
            <w:tcW w:w="1305" w:type="dxa"/>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Acceso al sistema (roles)</w:t>
            </w:r>
          </w:p>
        </w:tc>
        <w:tc>
          <w:tcPr>
            <w:tcW w:w="2008" w:type="dxa"/>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admin/123; admin/clave_incorrecta; usuario inexistente; admin/123 </w:t>
            </w:r>
          </w:p>
        </w:tc>
        <w:tc>
          <w:tcPr>
            <w:tcW w:w="2309" w:type="dxa"/>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La credencial correcta entra con rol administrador; las inválidas se rechazan sin revelar qué dato falló</w:t>
            </w:r>
          </w:p>
        </w:tc>
        <w:tc>
          <w:tcPr>
            <w:tcW w:w="2811" w:type="dxa"/>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admin/123 entra como ADMINISTRADOR. Clave errada y usuario inexistente dan la misma respuesta (INCORRECTO) y no queda sesión. La clave con un espacio de más se rechaza</w:t>
            </w:r>
          </w:p>
        </w:tc>
        <w:tc>
          <w:tcPr>
            <w:tcW w:w="905" w:type="dxa"/>
            <w:shd w:val="clear" w:color="auto" w:fill="E2F0D9"/>
            <w:tcMar>
              <w:top w:w="60" w:type="dxa"/>
              <w:left w:w="80" w:type="dxa"/>
              <w:bottom w:w="60" w:type="dxa"/>
              <w:right w:w="80" w:type="dxa"/>
            </w:tcMar>
            <w:vAlign w:val="center"/>
          </w:tcPr>
          <w:p>
            <w:pPr>
              <w:spacing w:after="0" w:line="240" w:lineRule="auto"/>
            </w:pPr>
            <w:r>
              <w:rPr>
                <w:rFonts w:ascii="Times New Roman" w:hAnsi="Times New Roman" w:cs="Times New Roman"/>
                <w:b/>
                <w:bCs/>
                <w:color w:val="1E7B34"/>
                <w:sz w:val="17"/>
                <w:szCs w:val="17"/>
              </w:rPr>
              <w:t xml:space="preserve">Pasó</w:t>
            </w:r>
          </w:p>
        </w:tc>
      </w:tr>
      <w:tr>
        <w:trPr>
          <w:cantSplit/>
        </w:trPr>
        <w:tc>
          <w:tcPr>
            <w:tcW w:w="702" w:type="dxa"/>
            <w:shd w:val="clear" w:color="auto" w:fill="F2F2F2"/>
            <w:tcMar>
              <w:top w:w="60" w:type="dxa"/>
              <w:left w:w="80" w:type="dxa"/>
              <w:bottom w:w="60" w:type="dxa"/>
              <w:right w:w="80" w:type="dxa"/>
            </w:tcMar>
            <w:vAlign w:val="center"/>
          </w:tcPr>
          <w:p>
            <w:pPr>
              <w:spacing w:after="0" w:line="240" w:lineRule="auto"/>
            </w:pPr>
            <w:r>
              <w:rPr>
                <w:rFonts w:ascii="Times New Roman" w:hAnsi="Times New Roman" w:cs="Times New Roman"/>
                <w:b/>
                <w:bCs/>
                <w:sz w:val="17"/>
                <w:szCs w:val="17"/>
              </w:rPr>
              <w:t xml:space="preserve">CP-02</w:t>
            </w:r>
          </w:p>
        </w:tc>
        <w:tc>
          <w:tcPr>
            <w:tcW w:w="1305" w:type="dxa"/>
            <w:shd w:val="clear" w:color="auto" w:fill="F2F2F2"/>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Restricción por rol</w:t>
            </w:r>
          </w:p>
        </w:tc>
        <w:tc>
          <w:tcPr>
            <w:tcW w:w="2008" w:type="dxa"/>
            <w:shd w:val="clear" w:color="auto" w:fill="F2F2F2"/>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Sesión de Personal1 y de admin: módulos del menú; Personal1 intenta crear una cuenta en Usuarios</w:t>
            </w:r>
          </w:p>
        </w:tc>
        <w:tc>
          <w:tcPr>
            <w:tcW w:w="2309" w:type="dxa"/>
            <w:shd w:val="clear" w:color="auto" w:fill="F2F2F2"/>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El personal no accede a Reportes, Negocio ni Usuarios; el administrador accede a todos</w:t>
            </w:r>
          </w:p>
        </w:tc>
        <w:tc>
          <w:tcPr>
            <w:tcW w:w="2811" w:type="dxa"/>
            <w:shd w:val="clear" w:color="auto" w:fill="F2F2F2"/>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Menú del personal: 7 módulos, sin Reportes, Negocio ni Usuarios. Menú del administrador: los 10. El personal recibe "Solo un administrador puede crear cuentas de usuario." y no se crea la cuenta</w:t>
            </w:r>
          </w:p>
        </w:tc>
        <w:tc>
          <w:tcPr>
            <w:tcW w:w="905" w:type="dxa"/>
            <w:shd w:val="clear" w:color="auto" w:fill="E2F0D9"/>
            <w:tcMar>
              <w:top w:w="60" w:type="dxa"/>
              <w:left w:w="80" w:type="dxa"/>
              <w:bottom w:w="60" w:type="dxa"/>
              <w:right w:w="80" w:type="dxa"/>
            </w:tcMar>
            <w:vAlign w:val="center"/>
          </w:tcPr>
          <w:p>
            <w:pPr>
              <w:spacing w:after="0" w:line="240" w:lineRule="auto"/>
            </w:pPr>
            <w:r>
              <w:rPr>
                <w:rFonts w:ascii="Times New Roman" w:hAnsi="Times New Roman" w:cs="Times New Roman"/>
                <w:b/>
                <w:bCs/>
                <w:color w:val="1E7B34"/>
                <w:sz w:val="17"/>
                <w:szCs w:val="17"/>
              </w:rPr>
              <w:t xml:space="preserve">Pasó</w:t>
            </w:r>
          </w:p>
        </w:tc>
      </w:tr>
      <w:tr>
        <w:trPr>
          <w:cantSplit/>
        </w:trPr>
        <w:tc>
          <w:tcPr>
            <w:tcW w:w="702" w:type="dxa"/>
            <w:tcMar>
              <w:top w:w="60" w:type="dxa"/>
              <w:left w:w="80" w:type="dxa"/>
              <w:bottom w:w="60" w:type="dxa"/>
              <w:right w:w="80" w:type="dxa"/>
            </w:tcMar>
            <w:vAlign w:val="center"/>
          </w:tcPr>
          <w:p>
            <w:pPr>
              <w:spacing w:after="0" w:line="240" w:lineRule="auto"/>
            </w:pPr>
            <w:r>
              <w:rPr>
                <w:rFonts w:ascii="Times New Roman" w:hAnsi="Times New Roman" w:cs="Times New Roman"/>
                <w:b/>
                <w:bCs/>
                <w:sz w:val="17"/>
                <w:szCs w:val="17"/>
              </w:rPr>
              <w:t xml:space="preserve">CP-03</w:t>
            </w:r>
          </w:p>
        </w:tc>
        <w:tc>
          <w:tcPr>
            <w:tcW w:w="1305" w:type="dxa"/>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Apertura de turno (proceso 01)</w:t>
            </w:r>
          </w:p>
        </w:tc>
        <w:tc>
          <w:tcPr>
            <w:tcW w:w="2008" w:type="dxa"/>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Abrir turno con S/ 100.00; abrir un segundo turno sin cerrar el primero</w:t>
            </w:r>
          </w:p>
        </w:tc>
        <w:tc>
          <w:tcPr>
            <w:tcW w:w="2309" w:type="dxa"/>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El primero queda abierto; el segundo se rechaza</w:t>
            </w:r>
          </w:p>
        </w:tc>
        <w:tc>
          <w:tcPr>
            <w:tcW w:w="2811" w:type="dxa"/>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Turno ABIERTO con S/ 100.00; el segundo se rechazó y quedó un solo turno abierto</w:t>
            </w:r>
          </w:p>
        </w:tc>
        <w:tc>
          <w:tcPr>
            <w:tcW w:w="905" w:type="dxa"/>
            <w:shd w:val="clear" w:color="auto" w:fill="E2F0D9"/>
            <w:tcMar>
              <w:top w:w="60" w:type="dxa"/>
              <w:left w:w="80" w:type="dxa"/>
              <w:bottom w:w="60" w:type="dxa"/>
              <w:right w:w="80" w:type="dxa"/>
            </w:tcMar>
            <w:vAlign w:val="center"/>
          </w:tcPr>
          <w:p>
            <w:pPr>
              <w:spacing w:after="0" w:line="240" w:lineRule="auto"/>
            </w:pPr>
            <w:r>
              <w:rPr>
                <w:rFonts w:ascii="Times New Roman" w:hAnsi="Times New Roman" w:cs="Times New Roman"/>
                <w:b/>
                <w:bCs/>
                <w:color w:val="1E7B34"/>
                <w:sz w:val="17"/>
                <w:szCs w:val="17"/>
              </w:rPr>
              <w:t xml:space="preserve">Pasó</w:t>
            </w:r>
          </w:p>
        </w:tc>
      </w:tr>
      <w:tr>
        <w:trPr>
          <w:cantSplit/>
        </w:trPr>
        <w:tc>
          <w:tcPr>
            <w:tcW w:w="702" w:type="dxa"/>
            <w:shd w:val="clear" w:color="auto" w:fill="F2F2F2"/>
            <w:tcMar>
              <w:top w:w="60" w:type="dxa"/>
              <w:left w:w="80" w:type="dxa"/>
              <w:bottom w:w="60" w:type="dxa"/>
              <w:right w:w="80" w:type="dxa"/>
            </w:tcMar>
            <w:vAlign w:val="center"/>
          </w:tcPr>
          <w:p>
            <w:pPr>
              <w:spacing w:after="0" w:line="240" w:lineRule="auto"/>
            </w:pPr>
            <w:r>
              <w:rPr>
                <w:rFonts w:ascii="Times New Roman" w:hAnsi="Times New Roman" w:cs="Times New Roman"/>
                <w:b/>
                <w:bCs/>
                <w:sz w:val="17"/>
                <w:szCs w:val="17"/>
              </w:rPr>
              <w:t xml:space="preserve">CP-04</w:t>
            </w:r>
          </w:p>
        </w:tc>
        <w:tc>
          <w:tcPr>
            <w:tcW w:w="1305" w:type="dxa"/>
            <w:shd w:val="clear" w:color="auto" w:fill="F2F2F2"/>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Venta sin turno</w:t>
            </w:r>
          </w:p>
        </w:tc>
        <w:tc>
          <w:tcPr>
            <w:tcW w:w="2008" w:type="dxa"/>
            <w:shd w:val="clear" w:color="auto" w:fill="F2F2F2"/>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Cobrar 1 unidad sin turno abierto</w:t>
            </w:r>
          </w:p>
        </w:tc>
        <w:tc>
          <w:tcPr>
            <w:tcW w:w="2309" w:type="dxa"/>
            <w:shd w:val="clear" w:color="auto" w:fill="F2F2F2"/>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La venta se bloquea, no se registra nada y no baja el stock</w:t>
            </w:r>
          </w:p>
        </w:tc>
        <w:tc>
          <w:tcPr>
            <w:tcW w:w="2811" w:type="dxa"/>
            <w:shd w:val="clear" w:color="auto" w:fill="F2F2F2"/>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Rechazada con "No tiene un turno de caja abierto". Sin cambios en ventas, detalle, lotes, comprobantes, movimientos ni stock</w:t>
            </w:r>
          </w:p>
        </w:tc>
        <w:tc>
          <w:tcPr>
            <w:tcW w:w="905" w:type="dxa"/>
            <w:shd w:val="clear" w:color="auto" w:fill="E2F0D9"/>
            <w:tcMar>
              <w:top w:w="60" w:type="dxa"/>
              <w:left w:w="80" w:type="dxa"/>
              <w:bottom w:w="60" w:type="dxa"/>
              <w:right w:w="80" w:type="dxa"/>
            </w:tcMar>
            <w:vAlign w:val="center"/>
          </w:tcPr>
          <w:p>
            <w:pPr>
              <w:spacing w:after="0" w:line="240" w:lineRule="auto"/>
            </w:pPr>
            <w:r>
              <w:rPr>
                <w:rFonts w:ascii="Times New Roman" w:hAnsi="Times New Roman" w:cs="Times New Roman"/>
                <w:b/>
                <w:bCs/>
                <w:color w:val="1E7B34"/>
                <w:sz w:val="17"/>
                <w:szCs w:val="17"/>
              </w:rPr>
              <w:t xml:space="preserve">Pasó</w:t>
            </w:r>
          </w:p>
        </w:tc>
      </w:tr>
      <w:tr>
        <w:trPr>
          <w:cantSplit/>
        </w:trPr>
        <w:tc>
          <w:tcPr>
            <w:tcW w:w="702" w:type="dxa"/>
            <w:tcMar>
              <w:top w:w="60" w:type="dxa"/>
              <w:left w:w="80" w:type="dxa"/>
              <w:bottom w:w="60" w:type="dxa"/>
              <w:right w:w="80" w:type="dxa"/>
            </w:tcMar>
            <w:vAlign w:val="center"/>
          </w:tcPr>
          <w:p>
            <w:pPr>
              <w:spacing w:after="0" w:line="240" w:lineRule="auto"/>
            </w:pPr>
            <w:r>
              <w:rPr>
                <w:rFonts w:ascii="Times New Roman" w:hAnsi="Times New Roman" w:cs="Times New Roman"/>
                <w:b/>
                <w:bCs/>
                <w:sz w:val="17"/>
                <w:szCs w:val="17"/>
              </w:rPr>
              <w:t xml:space="preserve">CP-05</w:t>
            </w:r>
          </w:p>
        </w:tc>
        <w:tc>
          <w:tcPr>
            <w:tcW w:w="1305" w:type="dxa"/>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Venta en efectivo (proceso 08)</w:t>
            </w:r>
          </w:p>
        </w:tc>
        <w:tc>
          <w:tcPr>
            <w:tcW w:w="2008" w:type="dxa"/>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1 unidad a S/ 12.35, paga S/ 20.00</w:t>
            </w:r>
          </w:p>
        </w:tc>
        <w:tc>
          <w:tcPr>
            <w:tcW w:w="2309" w:type="dxa"/>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Total = (12.35 + IGV 18 %) redondeado hacia abajo a 10 céntimos = S/ 14.50; vuelto S/ 5.50; stock − 1</w:t>
            </w:r>
          </w:p>
        </w:tc>
        <w:tc>
          <w:tcPr>
            <w:tcW w:w="2811" w:type="dxa"/>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Total S/ 14.50 (IGV S/ 2.22, redondeo −S/ 0.07), vuelto S/ 5.50, stock de 10 a 9</w:t>
            </w:r>
          </w:p>
        </w:tc>
        <w:tc>
          <w:tcPr>
            <w:tcW w:w="905" w:type="dxa"/>
            <w:shd w:val="clear" w:color="auto" w:fill="E2F0D9"/>
            <w:tcMar>
              <w:top w:w="60" w:type="dxa"/>
              <w:left w:w="80" w:type="dxa"/>
              <w:bottom w:w="60" w:type="dxa"/>
              <w:right w:w="80" w:type="dxa"/>
            </w:tcMar>
            <w:vAlign w:val="center"/>
          </w:tcPr>
          <w:p>
            <w:pPr>
              <w:spacing w:after="0" w:line="240" w:lineRule="auto"/>
            </w:pPr>
            <w:r>
              <w:rPr>
                <w:rFonts w:ascii="Times New Roman" w:hAnsi="Times New Roman" w:cs="Times New Roman"/>
                <w:b/>
                <w:bCs/>
                <w:color w:val="1E7B34"/>
                <w:sz w:val="17"/>
                <w:szCs w:val="17"/>
              </w:rPr>
              <w:t xml:space="preserve">Pasó</w:t>
            </w:r>
          </w:p>
        </w:tc>
      </w:tr>
      <w:tr>
        <w:trPr>
          <w:cantSplit/>
        </w:trPr>
        <w:tc>
          <w:tcPr>
            <w:tcW w:w="702" w:type="dxa"/>
            <w:shd w:val="clear" w:color="auto" w:fill="F2F2F2"/>
            <w:tcMar>
              <w:top w:w="60" w:type="dxa"/>
              <w:left w:w="80" w:type="dxa"/>
              <w:bottom w:w="60" w:type="dxa"/>
              <w:right w:w="80" w:type="dxa"/>
            </w:tcMar>
            <w:vAlign w:val="center"/>
          </w:tcPr>
          <w:p>
            <w:pPr>
              <w:spacing w:after="0" w:line="240" w:lineRule="auto"/>
            </w:pPr>
            <w:r>
              <w:rPr>
                <w:rFonts w:ascii="Times New Roman" w:hAnsi="Times New Roman" w:cs="Times New Roman"/>
                <w:b/>
                <w:bCs/>
                <w:sz w:val="17"/>
                <w:szCs w:val="17"/>
              </w:rPr>
              <w:t xml:space="preserve">CP-06</w:t>
            </w:r>
          </w:p>
        </w:tc>
        <w:tc>
          <w:tcPr>
            <w:tcW w:w="1305" w:type="dxa"/>
            <w:shd w:val="clear" w:color="auto" w:fill="F2F2F2"/>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Descuento VIP</w:t>
            </w:r>
          </w:p>
        </w:tc>
        <w:tc>
          <w:tcPr>
            <w:tcW w:w="2008" w:type="dxa"/>
            <w:shd w:val="clear" w:color="auto" w:fill="F2F2F2"/>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Cliente que hace su 4.ª compra (3 previas) y cliente que hace su 3.ª (2 previas), producto de S/ 100.00</w:t>
            </w:r>
          </w:p>
        </w:tc>
        <w:tc>
          <w:tcPr>
            <w:tcW w:w="2309" w:type="dxa"/>
            <w:shd w:val="clear" w:color="auto" w:fill="F2F2F2"/>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Criterio aclarado: 10 % después de 3 compras. 4.ª compra 10 % (S/ 10.00); 3.ª compra 5 % (S/ 5.00)</w:t>
            </w:r>
          </w:p>
        </w:tc>
        <w:tc>
          <w:tcPr>
            <w:tcW w:w="2811" w:type="dxa"/>
            <w:shd w:val="clear" w:color="auto" w:fill="F2F2F2"/>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4.ª compra: 10 % (S/ 10.00); 3.ª compra: 5 % (S/ 5.00)</w:t>
            </w:r>
          </w:p>
        </w:tc>
        <w:tc>
          <w:tcPr>
            <w:tcW w:w="905" w:type="dxa"/>
            <w:shd w:val="clear" w:color="auto" w:fill="E2F0D9"/>
            <w:tcMar>
              <w:top w:w="60" w:type="dxa"/>
              <w:left w:w="80" w:type="dxa"/>
              <w:bottom w:w="60" w:type="dxa"/>
              <w:right w:w="80" w:type="dxa"/>
            </w:tcMar>
            <w:vAlign w:val="center"/>
          </w:tcPr>
          <w:p>
            <w:pPr>
              <w:spacing w:after="0" w:line="240" w:lineRule="auto"/>
            </w:pPr>
            <w:r>
              <w:rPr>
                <w:rFonts w:ascii="Times New Roman" w:hAnsi="Times New Roman" w:cs="Times New Roman"/>
                <w:b/>
                <w:bCs/>
                <w:color w:val="1E7B34"/>
                <w:sz w:val="17"/>
                <w:szCs w:val="17"/>
              </w:rPr>
              <w:t xml:space="preserve">Pasó</w:t>
            </w:r>
          </w:p>
        </w:tc>
      </w:tr>
      <w:tr>
        <w:trPr>
          <w:cantSplit/>
        </w:trPr>
        <w:tc>
          <w:tcPr>
            <w:tcW w:w="702" w:type="dxa"/>
            <w:tcMar>
              <w:top w:w="60" w:type="dxa"/>
              <w:left w:w="80" w:type="dxa"/>
              <w:bottom w:w="60" w:type="dxa"/>
              <w:right w:w="80" w:type="dxa"/>
            </w:tcMar>
            <w:vAlign w:val="center"/>
          </w:tcPr>
          <w:p>
            <w:pPr>
              <w:spacing w:after="0" w:line="240" w:lineRule="auto"/>
            </w:pPr>
            <w:r>
              <w:rPr>
                <w:rFonts w:ascii="Times New Roman" w:hAnsi="Times New Roman" w:cs="Times New Roman"/>
                <w:b/>
                <w:bCs/>
                <w:sz w:val="17"/>
                <w:szCs w:val="17"/>
              </w:rPr>
              <w:t xml:space="preserve">CP-07</w:t>
            </w:r>
          </w:p>
        </w:tc>
        <w:tc>
          <w:tcPr>
            <w:tcW w:w="1305" w:type="dxa"/>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FEFO (proceso 03)</w:t>
            </w:r>
          </w:p>
        </w:tc>
        <w:tc>
          <w:tcPr>
            <w:tcW w:w="2008" w:type="dxa"/>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Lote que vence en 120 días (10 u.) y lote que vence en 20 días (10 u.); vender 3</w:t>
            </w:r>
          </w:p>
        </w:tc>
        <w:tc>
          <w:tcPr>
            <w:tcW w:w="2309" w:type="dxa"/>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Se descuenta del lote que vence primero; el otro queda intacto</w:t>
            </w:r>
          </w:p>
        </w:tc>
        <w:tc>
          <w:tcPr>
            <w:tcW w:w="2811" w:type="dxa"/>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Lote de 20 días: 10 → 7; lote de 120 días: 10 (intacto). Un solo lote usado; stock = suma de lotes (17)</w:t>
            </w:r>
          </w:p>
        </w:tc>
        <w:tc>
          <w:tcPr>
            <w:tcW w:w="905" w:type="dxa"/>
            <w:shd w:val="clear" w:color="auto" w:fill="E2F0D9"/>
            <w:tcMar>
              <w:top w:w="60" w:type="dxa"/>
              <w:left w:w="80" w:type="dxa"/>
              <w:bottom w:w="60" w:type="dxa"/>
              <w:right w:w="80" w:type="dxa"/>
            </w:tcMar>
            <w:vAlign w:val="center"/>
          </w:tcPr>
          <w:p>
            <w:pPr>
              <w:spacing w:after="0" w:line="240" w:lineRule="auto"/>
            </w:pPr>
            <w:r>
              <w:rPr>
                <w:rFonts w:ascii="Times New Roman" w:hAnsi="Times New Roman" w:cs="Times New Roman"/>
                <w:b/>
                <w:bCs/>
                <w:color w:val="1E7B34"/>
                <w:sz w:val="17"/>
                <w:szCs w:val="17"/>
              </w:rPr>
              <w:t xml:space="preserve">Pasó</w:t>
            </w:r>
          </w:p>
        </w:tc>
      </w:tr>
      <w:tr>
        <w:trPr>
          <w:cantSplit/>
        </w:trPr>
        <w:tc>
          <w:tcPr>
            <w:tcW w:w="702" w:type="dxa"/>
            <w:shd w:val="clear" w:color="auto" w:fill="F2F2F2"/>
            <w:tcMar>
              <w:top w:w="60" w:type="dxa"/>
              <w:left w:w="80" w:type="dxa"/>
              <w:bottom w:w="60" w:type="dxa"/>
              <w:right w:w="80" w:type="dxa"/>
            </w:tcMar>
            <w:vAlign w:val="center"/>
          </w:tcPr>
          <w:p>
            <w:pPr>
              <w:spacing w:after="0" w:line="240" w:lineRule="auto"/>
            </w:pPr>
            <w:r>
              <w:rPr>
                <w:rFonts w:ascii="Times New Roman" w:hAnsi="Times New Roman" w:cs="Times New Roman"/>
                <w:b/>
                <w:bCs/>
                <w:sz w:val="17"/>
                <w:szCs w:val="17"/>
              </w:rPr>
              <w:t xml:space="preserve">CP-08</w:t>
            </w:r>
          </w:p>
        </w:tc>
        <w:tc>
          <w:tcPr>
            <w:tcW w:w="1305" w:type="dxa"/>
            <w:shd w:val="clear" w:color="auto" w:fill="F2F2F2"/>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Stock insuficiente (valor límite)</w:t>
            </w:r>
          </w:p>
        </w:tc>
        <w:tc>
          <w:tcPr>
            <w:tcW w:w="2008" w:type="dxa"/>
            <w:shd w:val="clear" w:color="auto" w:fill="F2F2F2"/>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Stock 4 (2 lotes de 2): pedir 5 y luego 4</w:t>
            </w:r>
          </w:p>
        </w:tc>
        <w:tc>
          <w:tcPr>
            <w:tcW w:w="2309" w:type="dxa"/>
            <w:shd w:val="clear" w:color="auto" w:fill="F2F2F2"/>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Con 5 se rechaza sin registros parciales (rollback); con 4 procede</w:t>
            </w:r>
          </w:p>
        </w:tc>
        <w:tc>
          <w:tcPr>
            <w:tcW w:w="2811" w:type="dxa"/>
            <w:shd w:val="clear" w:color="auto" w:fill="F2F2F2"/>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5: rechazada, sin ningún registro. 4: registrada, stock 0 y ambos lotes en 0</w:t>
            </w:r>
          </w:p>
        </w:tc>
        <w:tc>
          <w:tcPr>
            <w:tcW w:w="905" w:type="dxa"/>
            <w:shd w:val="clear" w:color="auto" w:fill="E2F0D9"/>
            <w:tcMar>
              <w:top w:w="60" w:type="dxa"/>
              <w:left w:w="80" w:type="dxa"/>
              <w:bottom w:w="60" w:type="dxa"/>
              <w:right w:w="80" w:type="dxa"/>
            </w:tcMar>
            <w:vAlign w:val="center"/>
          </w:tcPr>
          <w:p>
            <w:pPr>
              <w:spacing w:after="0" w:line="240" w:lineRule="auto"/>
            </w:pPr>
            <w:r>
              <w:rPr>
                <w:rFonts w:ascii="Times New Roman" w:hAnsi="Times New Roman" w:cs="Times New Roman"/>
                <w:b/>
                <w:bCs/>
                <w:color w:val="1E7B34"/>
                <w:sz w:val="17"/>
                <w:szCs w:val="17"/>
              </w:rPr>
              <w:t xml:space="preserve">Pasó</w:t>
            </w:r>
          </w:p>
        </w:tc>
      </w:tr>
      <w:tr>
        <w:trPr>
          <w:cantSplit/>
        </w:trPr>
        <w:tc>
          <w:tcPr>
            <w:tcW w:w="702" w:type="dxa"/>
            <w:tcMar>
              <w:top w:w="60" w:type="dxa"/>
              <w:left w:w="80" w:type="dxa"/>
              <w:bottom w:w="60" w:type="dxa"/>
              <w:right w:w="80" w:type="dxa"/>
            </w:tcMar>
            <w:vAlign w:val="center"/>
          </w:tcPr>
          <w:p>
            <w:pPr>
              <w:spacing w:after="0" w:line="240" w:lineRule="auto"/>
            </w:pPr>
            <w:r>
              <w:rPr>
                <w:rFonts w:ascii="Times New Roman" w:hAnsi="Times New Roman" w:cs="Times New Roman"/>
                <w:b/>
                <w:bCs/>
                <w:sz w:val="17"/>
                <w:szCs w:val="17"/>
              </w:rPr>
              <w:t xml:space="preserve">CP-09</w:t>
            </w:r>
          </w:p>
        </w:tc>
        <w:tc>
          <w:tcPr>
            <w:tcW w:w="1305" w:type="dxa"/>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Forma de pago (proceso 15)</w:t>
            </w:r>
          </w:p>
        </w:tc>
        <w:tc>
          <w:tcPr>
            <w:tcW w:w="2008" w:type="dxa"/>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Tarjeta 4111 1111 1111 1111; forma de pago "Transferencia"; 1 unidad de S/ 10.00 con Yape o Plin</w:t>
            </w:r>
          </w:p>
        </w:tc>
        <w:tc>
          <w:tcPr>
            <w:tcW w:w="2309" w:type="dxa"/>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La tarjeta (retirada de esta versión) y cualquier forma que no sea Efectivo o Yape o Plin se rechazan sin registros. Yape o Plin se registra como forma de pago, sin efectivo recibido, con comprobante, y suma en el turno sin cambiar el efectivo en caja</w:t>
            </w:r>
          </w:p>
        </w:tc>
        <w:tc>
          <w:tcPr>
            <w:tcW w:w="2811" w:type="dxa"/>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Tarjeta y "Transferencia" rechazadas sin registros. Venta con Yape o Plin por S/ 11.80, sin efectivo recibido y con comprobante. Turno: Yape o Plin S/ 11.80, efectivo en caja S/ 100.00. No existe la tabla de la pasarela</w:t>
            </w:r>
          </w:p>
        </w:tc>
        <w:tc>
          <w:tcPr>
            <w:tcW w:w="905" w:type="dxa"/>
            <w:shd w:val="clear" w:color="auto" w:fill="E2F0D9"/>
            <w:tcMar>
              <w:top w:w="60" w:type="dxa"/>
              <w:left w:w="80" w:type="dxa"/>
              <w:bottom w:w="60" w:type="dxa"/>
              <w:right w:w="80" w:type="dxa"/>
            </w:tcMar>
            <w:vAlign w:val="center"/>
          </w:tcPr>
          <w:p>
            <w:pPr>
              <w:spacing w:after="0" w:line="240" w:lineRule="auto"/>
            </w:pPr>
            <w:r>
              <w:rPr>
                <w:rFonts w:ascii="Times New Roman" w:hAnsi="Times New Roman" w:cs="Times New Roman"/>
                <w:b/>
                <w:bCs/>
                <w:color w:val="1E7B34"/>
                <w:sz w:val="17"/>
                <w:szCs w:val="17"/>
              </w:rPr>
              <w:t xml:space="preserve">Pasó</w:t>
            </w:r>
          </w:p>
        </w:tc>
      </w:tr>
      <w:tr>
        <w:trPr>
          <w:cantSplit/>
        </w:trPr>
        <w:tc>
          <w:tcPr>
            <w:tcW w:w="702" w:type="dxa"/>
            <w:shd w:val="clear" w:color="auto" w:fill="F2F2F2"/>
            <w:tcMar>
              <w:top w:w="60" w:type="dxa"/>
              <w:left w:w="80" w:type="dxa"/>
              <w:bottom w:w="60" w:type="dxa"/>
              <w:right w:w="80" w:type="dxa"/>
            </w:tcMar>
            <w:vAlign w:val="center"/>
          </w:tcPr>
          <w:p>
            <w:pPr>
              <w:spacing w:after="0" w:line="240" w:lineRule="auto"/>
            </w:pPr>
            <w:r>
              <w:rPr>
                <w:rFonts w:ascii="Times New Roman" w:hAnsi="Times New Roman" w:cs="Times New Roman"/>
                <w:b/>
                <w:bCs/>
                <w:sz w:val="17"/>
                <w:szCs w:val="17"/>
              </w:rPr>
              <w:t xml:space="preserve">CP-10</w:t>
            </w:r>
          </w:p>
        </w:tc>
        <w:tc>
          <w:tcPr>
            <w:tcW w:w="1305" w:type="dxa"/>
            <w:shd w:val="clear" w:color="auto" w:fill="F2F2F2"/>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Comprobante</w:t>
            </w:r>
          </w:p>
        </w:tc>
        <w:tc>
          <w:tcPr>
            <w:tcW w:w="2008" w:type="dxa"/>
            <w:shd w:val="clear" w:color="auto" w:fill="F2F2F2"/>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Venta a cliente con RUC, con DNI y sin cliente</w:t>
            </w:r>
          </w:p>
        </w:tc>
        <w:tc>
          <w:tcPr>
            <w:tcW w:w="2309" w:type="dxa"/>
            <w:shd w:val="clear" w:color="auto" w:fill="F2F2F2"/>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RUC: factura serie F; DNI o sin documento: boleta serie B; numeración correlativa de 1 en 1</w:t>
            </w:r>
          </w:p>
        </w:tc>
        <w:tc>
          <w:tcPr>
            <w:tcW w:w="2811" w:type="dxa"/>
            <w:shd w:val="clear" w:color="auto" w:fill="F2F2F2"/>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Factura F001-00001149 (última era 1148); boletas B001-00006694 y B001-00006695 (última era 6693); con código de verificación</w:t>
            </w:r>
          </w:p>
        </w:tc>
        <w:tc>
          <w:tcPr>
            <w:tcW w:w="905" w:type="dxa"/>
            <w:shd w:val="clear" w:color="auto" w:fill="E2F0D9"/>
            <w:tcMar>
              <w:top w:w="60" w:type="dxa"/>
              <w:left w:w="80" w:type="dxa"/>
              <w:bottom w:w="60" w:type="dxa"/>
              <w:right w:w="80" w:type="dxa"/>
            </w:tcMar>
            <w:vAlign w:val="center"/>
          </w:tcPr>
          <w:p>
            <w:pPr>
              <w:spacing w:after="0" w:line="240" w:lineRule="auto"/>
            </w:pPr>
            <w:r>
              <w:rPr>
                <w:rFonts w:ascii="Times New Roman" w:hAnsi="Times New Roman" w:cs="Times New Roman"/>
                <w:b/>
                <w:bCs/>
                <w:color w:val="1E7B34"/>
                <w:sz w:val="17"/>
                <w:szCs w:val="17"/>
              </w:rPr>
              <w:t xml:space="preserve">Pasó</w:t>
            </w:r>
          </w:p>
        </w:tc>
      </w:tr>
      <w:tr>
        <w:trPr>
          <w:cantSplit/>
        </w:trPr>
        <w:tc>
          <w:tcPr>
            <w:tcW w:w="702" w:type="dxa"/>
            <w:tcMar>
              <w:top w:w="60" w:type="dxa"/>
              <w:left w:w="80" w:type="dxa"/>
              <w:bottom w:w="60" w:type="dxa"/>
              <w:right w:w="80" w:type="dxa"/>
            </w:tcMar>
            <w:vAlign w:val="center"/>
          </w:tcPr>
          <w:p>
            <w:pPr>
              <w:spacing w:after="0" w:line="240" w:lineRule="auto"/>
            </w:pPr>
            <w:r>
              <w:rPr>
                <w:rFonts w:ascii="Times New Roman" w:hAnsi="Times New Roman" w:cs="Times New Roman"/>
                <w:b/>
                <w:bCs/>
                <w:sz w:val="17"/>
                <w:szCs w:val="17"/>
              </w:rPr>
              <w:t xml:space="preserve">CP-11</w:t>
            </w:r>
          </w:p>
        </w:tc>
        <w:tc>
          <w:tcPr>
            <w:tcW w:w="1305" w:type="dxa"/>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Anulación de venta</w:t>
            </w:r>
          </w:p>
        </w:tc>
        <w:tc>
          <w:tcPr>
            <w:tcW w:w="2008" w:type="dxa"/>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Como administrador, anular una venta en efectivo (5 u. de 2 lotes) y una con Plin (5 u.)</w:t>
            </w:r>
          </w:p>
        </w:tc>
        <w:tc>
          <w:tcPr>
            <w:tcW w:w="2309" w:type="dxa"/>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Stock vuelve a los mismos lotes; la venta queda anulada y sale del cuadre del turno</w:t>
            </w:r>
          </w:p>
        </w:tc>
        <w:tc>
          <w:tcPr>
            <w:tcW w:w="2811" w:type="dxa"/>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Lotes de vuelta a 3 y 10 u., stock 13, ambas ventas ANULADA, total del turno y Yape o Plin en S/ 0.00, 3 movimientos de anulación (uno por lote)</w:t>
            </w:r>
          </w:p>
        </w:tc>
        <w:tc>
          <w:tcPr>
            <w:tcW w:w="905" w:type="dxa"/>
            <w:shd w:val="clear" w:color="auto" w:fill="E2F0D9"/>
            <w:tcMar>
              <w:top w:w="60" w:type="dxa"/>
              <w:left w:w="80" w:type="dxa"/>
              <w:bottom w:w="60" w:type="dxa"/>
              <w:right w:w="80" w:type="dxa"/>
            </w:tcMar>
            <w:vAlign w:val="center"/>
          </w:tcPr>
          <w:p>
            <w:pPr>
              <w:spacing w:after="0" w:line="240" w:lineRule="auto"/>
            </w:pPr>
            <w:r>
              <w:rPr>
                <w:rFonts w:ascii="Times New Roman" w:hAnsi="Times New Roman" w:cs="Times New Roman"/>
                <w:b/>
                <w:bCs/>
                <w:color w:val="1E7B34"/>
                <w:sz w:val="17"/>
                <w:szCs w:val="17"/>
              </w:rPr>
              <w:t xml:space="preserve">Pasó</w:t>
            </w:r>
          </w:p>
        </w:tc>
      </w:tr>
      <w:tr>
        <w:trPr>
          <w:cantSplit/>
        </w:trPr>
        <w:tc>
          <w:tcPr>
            <w:tcW w:w="702" w:type="dxa"/>
            <w:shd w:val="clear" w:color="auto" w:fill="F2F2F2"/>
            <w:tcMar>
              <w:top w:w="60" w:type="dxa"/>
              <w:left w:w="80" w:type="dxa"/>
              <w:bottom w:w="60" w:type="dxa"/>
              <w:right w:w="80" w:type="dxa"/>
            </w:tcMar>
            <w:vAlign w:val="center"/>
          </w:tcPr>
          <w:p>
            <w:pPr>
              <w:spacing w:after="0" w:line="240" w:lineRule="auto"/>
            </w:pPr>
            <w:r>
              <w:rPr>
                <w:rFonts w:ascii="Times New Roman" w:hAnsi="Times New Roman" w:cs="Times New Roman"/>
                <w:b/>
                <w:bCs/>
                <w:sz w:val="17"/>
                <w:szCs w:val="17"/>
              </w:rPr>
              <w:t xml:space="preserve">CP-12</w:t>
            </w:r>
          </w:p>
        </w:tc>
        <w:tc>
          <w:tcPr>
            <w:tcW w:w="1305" w:type="dxa"/>
            <w:shd w:val="clear" w:color="auto" w:fill="F2F2F2"/>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Mermas (proceso 13)</w:t>
            </w:r>
          </w:p>
        </w:tc>
        <w:tc>
          <w:tcPr>
            <w:tcW w:w="2008" w:type="dxa"/>
            <w:shd w:val="clear" w:color="auto" w:fill="F2F2F2"/>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Personal1 registra 2 mermas (3 u. y 2 u.); intenta aprobar una; admin aprueba la primera y rechaza la segunda</w:t>
            </w:r>
          </w:p>
        </w:tc>
        <w:tc>
          <w:tcPr>
            <w:tcW w:w="2309" w:type="dxa"/>
            <w:shd w:val="clear" w:color="auto" w:fill="F2F2F2"/>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Nace pendiente sin descontar stock; al aprobar descuenta y registra al autorizador; al rechazar no descuenta</w:t>
            </w:r>
          </w:p>
        </w:tc>
        <w:tc>
          <w:tcPr>
            <w:tcW w:w="2811" w:type="dxa"/>
            <w:shd w:val="clear" w:color="auto" w:fill="F2F2F2"/>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Nace PENDIENTE con stock y lote intactos (10). El personal no puede aprobarla. Al aprobar: stock y lote 7, con autorizador y fecha. Al rechazar: stock sigue en 7</w:t>
            </w:r>
          </w:p>
        </w:tc>
        <w:tc>
          <w:tcPr>
            <w:tcW w:w="905" w:type="dxa"/>
            <w:shd w:val="clear" w:color="auto" w:fill="E2F0D9"/>
            <w:tcMar>
              <w:top w:w="60" w:type="dxa"/>
              <w:left w:w="80" w:type="dxa"/>
              <w:bottom w:w="60" w:type="dxa"/>
              <w:right w:w="80" w:type="dxa"/>
            </w:tcMar>
            <w:vAlign w:val="center"/>
          </w:tcPr>
          <w:p>
            <w:pPr>
              <w:spacing w:after="0" w:line="240" w:lineRule="auto"/>
            </w:pPr>
            <w:r>
              <w:rPr>
                <w:rFonts w:ascii="Times New Roman" w:hAnsi="Times New Roman" w:cs="Times New Roman"/>
                <w:b/>
                <w:bCs/>
                <w:color w:val="1E7B34"/>
                <w:sz w:val="17"/>
                <w:szCs w:val="17"/>
              </w:rPr>
              <w:t xml:space="preserve">Pasó</w:t>
            </w:r>
          </w:p>
        </w:tc>
      </w:tr>
      <w:tr>
        <w:trPr>
          <w:cantSplit/>
        </w:trPr>
        <w:tc>
          <w:tcPr>
            <w:tcW w:w="702" w:type="dxa"/>
            <w:tcMar>
              <w:top w:w="60" w:type="dxa"/>
              <w:left w:w="80" w:type="dxa"/>
              <w:bottom w:w="60" w:type="dxa"/>
              <w:right w:w="80" w:type="dxa"/>
            </w:tcMar>
            <w:vAlign w:val="center"/>
          </w:tcPr>
          <w:p>
            <w:pPr>
              <w:spacing w:after="0" w:line="240" w:lineRule="auto"/>
            </w:pPr>
            <w:r>
              <w:rPr>
                <w:rFonts w:ascii="Times New Roman" w:hAnsi="Times New Roman" w:cs="Times New Roman"/>
                <w:b/>
                <w:bCs/>
                <w:sz w:val="17"/>
                <w:szCs w:val="17"/>
              </w:rPr>
              <w:t xml:space="preserve">CP-13</w:t>
            </w:r>
          </w:p>
        </w:tc>
        <w:tc>
          <w:tcPr>
            <w:tcW w:w="1305" w:type="dxa"/>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Alertas y orden de compra (procesos 09-14)</w:t>
            </w:r>
          </w:p>
        </w:tc>
        <w:tc>
          <w:tcPr>
            <w:tcW w:w="2008" w:type="dxa"/>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Producto con mínimo 10, máximo 50 y stock 4; Personal1 crea la orden; admin la aprueba</w:t>
            </w:r>
          </w:p>
        </w:tc>
        <w:tc>
          <w:tcPr>
            <w:tcW w:w="2309" w:type="dxa"/>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Aparece la alerta de reposición; la orden se crea y la aprueba el administrador</w:t>
            </w:r>
          </w:p>
        </w:tc>
        <w:tc>
          <w:tcPr>
            <w:tcW w:w="2811" w:type="dxa"/>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Alerta "Stock bajo" con cantidad sugerida. Orden PENDIENTE; el personal no puede aprobarla y el administrador sí (APROBADA). Las unidades pasan a "en pedido"</w:t>
            </w:r>
          </w:p>
        </w:tc>
        <w:tc>
          <w:tcPr>
            <w:tcW w:w="905" w:type="dxa"/>
            <w:shd w:val="clear" w:color="auto" w:fill="E2F0D9"/>
            <w:tcMar>
              <w:top w:w="60" w:type="dxa"/>
              <w:left w:w="80" w:type="dxa"/>
              <w:bottom w:w="60" w:type="dxa"/>
              <w:right w:w="80" w:type="dxa"/>
            </w:tcMar>
            <w:vAlign w:val="center"/>
          </w:tcPr>
          <w:p>
            <w:pPr>
              <w:spacing w:after="0" w:line="240" w:lineRule="auto"/>
            </w:pPr>
            <w:r>
              <w:rPr>
                <w:rFonts w:ascii="Times New Roman" w:hAnsi="Times New Roman" w:cs="Times New Roman"/>
                <w:b/>
                <w:bCs/>
                <w:color w:val="1E7B34"/>
                <w:sz w:val="17"/>
                <w:szCs w:val="17"/>
              </w:rPr>
              <w:t xml:space="preserve">Pasó</w:t>
            </w:r>
          </w:p>
        </w:tc>
      </w:tr>
      <w:tr>
        <w:trPr>
          <w:cantSplit/>
        </w:trPr>
        <w:tc>
          <w:tcPr>
            <w:tcW w:w="702" w:type="dxa"/>
            <w:shd w:val="clear" w:color="auto" w:fill="F2F2F2"/>
            <w:tcMar>
              <w:top w:w="60" w:type="dxa"/>
              <w:left w:w="80" w:type="dxa"/>
              <w:bottom w:w="60" w:type="dxa"/>
              <w:right w:w="80" w:type="dxa"/>
            </w:tcMar>
            <w:vAlign w:val="center"/>
          </w:tcPr>
          <w:p>
            <w:pPr>
              <w:spacing w:after="0" w:line="240" w:lineRule="auto"/>
            </w:pPr>
            <w:r>
              <w:rPr>
                <w:rFonts w:ascii="Times New Roman" w:hAnsi="Times New Roman" w:cs="Times New Roman"/>
                <w:b/>
                <w:bCs/>
                <w:sz w:val="17"/>
                <w:szCs w:val="17"/>
              </w:rPr>
              <w:t xml:space="preserve">CP-14</w:t>
            </w:r>
          </w:p>
        </w:tc>
        <w:tc>
          <w:tcPr>
            <w:tcW w:w="1305" w:type="dxa"/>
            <w:shd w:val="clear" w:color="auto" w:fill="F2F2F2"/>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Cierre de turno (proceso 12)</w:t>
            </w:r>
          </w:p>
        </w:tc>
        <w:tc>
          <w:tcPr>
            <w:tcW w:w="2008" w:type="dxa"/>
            <w:shd w:val="clear" w:color="auto" w:fill="F2F2F2"/>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Turno 1: S/ 100.00 inicial + S/ 11.80, cuenta S/ 110.00. Turno 2: S/ 50.00 + S/ 11.80, cuenta S/ 62.30. Luego intentar vender</w:t>
            </w:r>
          </w:p>
        </w:tc>
        <w:tc>
          <w:tcPr>
            <w:tcW w:w="2309" w:type="dxa"/>
            <w:shd w:val="clear" w:color="auto" w:fill="F2F2F2"/>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Faltante y sobrante por la diferencia exacta; el turno queda cerrado y no admite ventas</w:t>
            </w:r>
          </w:p>
        </w:tc>
        <w:tc>
          <w:tcPr>
            <w:tcW w:w="2811" w:type="dxa"/>
            <w:shd w:val="clear" w:color="auto" w:fill="F2F2F2"/>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Turno 1: esperado S/ 111.80, faltante −S/ 1.80. Turno 2: esperado S/ 61.80, sobrante +S/ 0.50. Ambos CERRADO; la venta posterior se rechazó sin registros</w:t>
            </w:r>
          </w:p>
        </w:tc>
        <w:tc>
          <w:tcPr>
            <w:tcW w:w="905" w:type="dxa"/>
            <w:shd w:val="clear" w:color="auto" w:fill="E2F0D9"/>
            <w:tcMar>
              <w:top w:w="60" w:type="dxa"/>
              <w:left w:w="80" w:type="dxa"/>
              <w:bottom w:w="60" w:type="dxa"/>
              <w:right w:w="80" w:type="dxa"/>
            </w:tcMar>
            <w:vAlign w:val="center"/>
          </w:tcPr>
          <w:p>
            <w:pPr>
              <w:spacing w:after="0" w:line="240" w:lineRule="auto"/>
            </w:pPr>
            <w:r>
              <w:rPr>
                <w:rFonts w:ascii="Times New Roman" w:hAnsi="Times New Roman" w:cs="Times New Roman"/>
                <w:b/>
                <w:bCs/>
                <w:color w:val="1E7B34"/>
                <w:sz w:val="17"/>
                <w:szCs w:val="17"/>
              </w:rPr>
              <w:t xml:space="preserve">Pasó</w:t>
            </w:r>
          </w:p>
        </w:tc>
      </w:tr>
      <w:tr>
        <w:trPr>
          <w:cantSplit/>
        </w:trPr>
        <w:tc>
          <w:tcPr>
            <w:tcW w:w="702" w:type="dxa"/>
            <w:tcMar>
              <w:top w:w="60" w:type="dxa"/>
              <w:left w:w="80" w:type="dxa"/>
              <w:bottom w:w="60" w:type="dxa"/>
              <w:right w:w="80" w:type="dxa"/>
            </w:tcMar>
            <w:vAlign w:val="center"/>
          </w:tcPr>
          <w:p>
            <w:pPr>
              <w:spacing w:after="0" w:line="240" w:lineRule="auto"/>
            </w:pPr>
            <w:r>
              <w:rPr>
                <w:rFonts w:ascii="Times New Roman" w:hAnsi="Times New Roman" w:cs="Times New Roman"/>
                <w:b/>
                <w:bCs/>
                <w:sz w:val="17"/>
                <w:szCs w:val="17"/>
              </w:rPr>
              <w:t xml:space="preserve">CP-15</w:t>
            </w:r>
          </w:p>
        </w:tc>
        <w:tc>
          <w:tcPr>
            <w:tcW w:w="1305" w:type="dxa"/>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Reportes y exportación (proceso 16)</w:t>
            </w:r>
          </w:p>
        </w:tc>
        <w:tc>
          <w:tcPr>
            <w:tcW w:w="2008" w:type="dxa"/>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Mermas del día: 1 aprobada (4 u. × S/ 7.90), 1 rechazada, 1 pendiente; exportar a PDF y Excel</w:t>
            </w:r>
          </w:p>
        </w:tc>
        <w:tc>
          <w:tcPr>
            <w:tcW w:w="2309" w:type="dxa"/>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Se crean ambos archivos, no están vacíos y los totales coinciden con la base</w:t>
            </w:r>
          </w:p>
        </w:tc>
        <w:tc>
          <w:tcPr>
            <w:tcW w:w="2811" w:type="dxa"/>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PDF y Excel generados y no vacíos. Valor perdido S/ 31.60, 4 unidades y 3 mermas: iguales en el Excel, en el PDF y en la base. El PDF termina con las líneas de firma</w:t>
            </w:r>
          </w:p>
        </w:tc>
        <w:tc>
          <w:tcPr>
            <w:tcW w:w="905" w:type="dxa"/>
            <w:shd w:val="clear" w:color="auto" w:fill="E2F0D9"/>
            <w:tcMar>
              <w:top w:w="60" w:type="dxa"/>
              <w:left w:w="80" w:type="dxa"/>
              <w:bottom w:w="60" w:type="dxa"/>
              <w:right w:w="80" w:type="dxa"/>
            </w:tcMar>
            <w:vAlign w:val="center"/>
          </w:tcPr>
          <w:p>
            <w:pPr>
              <w:spacing w:after="0" w:line="240" w:lineRule="auto"/>
            </w:pPr>
            <w:r>
              <w:rPr>
                <w:rFonts w:ascii="Times New Roman" w:hAnsi="Times New Roman" w:cs="Times New Roman"/>
                <w:b/>
                <w:bCs/>
                <w:color w:val="1E7B34"/>
                <w:sz w:val="17"/>
                <w:szCs w:val="17"/>
              </w:rPr>
              <w:t xml:space="preserve">Pasó</w:t>
            </w:r>
          </w:p>
        </w:tc>
      </w:tr>
    </w:tbl>
    <w:p>
      <w:pPr>
        <w:spacing w:after="120"/>
      </w:pPr>
    </w:p>
    <w:p>
      <w:pPr>
        <w:pStyle w:val="Ttulo2"/>
      </w:pPr>
      <w:r>
        <w:rPr>
          <w:rFonts w:ascii="Times New Roman" w:hAnsi="Times New Roman" w:cs="Times New Roman"/>
          <w:b/>
          <w:bCs/>
        </w:rPr>
        <w:t xml:space="preserve">5. Adaptaciones respecto al diseño original</w:t>
      </w:r>
    </w:p>
    <w:p>
      <w:pPr>
        <w:pStyle w:val="Prrafodelista"/>
        <w:numPr>
          <w:ilvl w:val="0"/>
          <w:numId w:val="1"/>
        </w:numPr>
        <w:spacing w:after="60"/>
        <w:jc w:val="both"/>
      </w:pPr>
      <w:r>
        <w:rPr>
          <w:rFonts w:ascii="Times New Roman" w:hAnsi="Times New Roman" w:cs="Times New Roman"/>
          <w:b/>
          <w:bCs/>
        </w:rPr>
        <w:t xml:space="preserve">CP-09: </w:t>
      </w:r>
      <w:r>
        <w:rPr>
          <w:rFonts w:ascii="Times New Roman" w:hAnsi="Times New Roman" w:cs="Times New Roman"/>
        </w:rPr>
        <w:t xml:space="preserve">el documento indica que el cobro con tarjeta se retiró de esta versión. Por eso la tarjeta 4111 1111 1111 1111 se prueba como una forma de pago que debe rechazarse. Desde la corrida 5 el sistema solo registra la forma de pago (CAM-01): ya no hay pasarela, token ni autorización que probar.</w:t>
      </w:r>
    </w:p>
    <w:p>
      <w:pPr>
        <w:pStyle w:val="Prrafodelista"/>
        <w:numPr>
          <w:ilvl w:val="0"/>
          <w:numId w:val="1"/>
        </w:numPr>
        <w:spacing w:after="60"/>
        <w:jc w:val="both"/>
      </w:pPr>
      <w:r>
        <w:rPr>
          <w:rFonts w:ascii="Times New Roman" w:hAnsi="Times New Roman" w:cs="Times New Roman"/>
          <w:b/>
          <w:bCs/>
        </w:rPr>
        <w:t xml:space="preserve">CP-11: </w:t>
      </w:r>
      <w:r>
        <w:rPr>
          <w:rFonts w:ascii="Times New Roman" w:hAnsi="Times New Roman" w:cs="Times New Roman"/>
        </w:rPr>
        <w:t xml:space="preserve">la venta «con tarjeta» se hace con Plin. Desde la corrida 5 se verifica que la venta anulada salga del cuadre del turno; el dinero de Yape o Plin lo devuelve el cajero desde el celular del negocio.</w:t>
      </w:r>
    </w:p>
    <w:p>
      <w:pPr>
        <w:pStyle w:val="Ttulo2"/>
      </w:pPr>
      <w:r>
        <w:rPr>
          <w:rFonts w:ascii="Times New Roman" w:hAnsi="Times New Roman" w:cs="Times New Roman"/>
          <w:b/>
          <w:bCs/>
        </w:rPr>
        <w:t xml:space="preserve">6. Historial de corridas y resultados</w:t>
      </w:r>
    </w:p>
    <w:tbl>
      <w:tblPr>
        <w:tblW w:w="1004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10" w:type="dxa"/>
          <w:right w:w="10" w:type="dxa"/>
        </w:tblCellMar>
        <w:tblLook w:val="04A0" w:firstRow="1" w:lastRow="0" w:firstColumn="1" w:lastColumn="0" w:noHBand="0" w:noVBand="1"/>
      </w:tblPr>
      <w:tblGrid>
        <w:gridCol w:w="1204"/>
        <w:gridCol w:w="1405"/>
        <w:gridCol w:w="1305"/>
        <w:gridCol w:w="1405"/>
        <w:gridCol w:w="4721"/>
      </w:tblGrid>
      <w:tr>
        <w:trPr>
          <w:tblHeader/>
          <w:cantSplit/>
        </w:trPr>
        <w:tc>
          <w:tcPr>
            <w:tcW w:w="1204" w:type="dxa"/>
            <w:shd w:val="clear" w:color="auto" w:fill="D9D9D9"/>
            <w:tcMar>
              <w:top w:w="60" w:type="dxa"/>
              <w:left w:w="80" w:type="dxa"/>
              <w:bottom w:w="60" w:type="dxa"/>
              <w:right w:w="80" w:type="dxa"/>
            </w:tcMar>
            <w:vAlign w:val="center"/>
          </w:tcPr>
          <w:p>
            <w:pPr>
              <w:spacing w:after="0" w:line="240" w:lineRule="auto"/>
            </w:pPr>
            <w:r>
              <w:rPr>
                <w:rFonts w:ascii="Times New Roman" w:hAnsi="Times New Roman" w:cs="Times New Roman"/>
                <w:b/>
                <w:bCs/>
                <w:sz w:val="20"/>
                <w:szCs w:val="20"/>
              </w:rPr>
              <w:t xml:space="preserve">Corrida</w:t>
            </w:r>
          </w:p>
        </w:tc>
        <w:tc>
          <w:tcPr>
            <w:tcW w:w="1405" w:type="dxa"/>
            <w:shd w:val="clear" w:color="auto" w:fill="D9D9D9"/>
            <w:tcMar>
              <w:top w:w="60" w:type="dxa"/>
              <w:left w:w="80" w:type="dxa"/>
              <w:bottom w:w="60" w:type="dxa"/>
              <w:right w:w="80" w:type="dxa"/>
            </w:tcMar>
            <w:vAlign w:val="center"/>
          </w:tcPr>
          <w:p>
            <w:pPr>
              <w:spacing w:after="0" w:line="240" w:lineRule="auto"/>
            </w:pPr>
            <w:r>
              <w:rPr>
                <w:rFonts w:ascii="Times New Roman" w:hAnsi="Times New Roman" w:cs="Times New Roman"/>
                <w:b/>
                <w:bCs/>
                <w:sz w:val="20"/>
                <w:szCs w:val="20"/>
              </w:rPr>
              <w:t xml:space="preserve">Aprobados</w:t>
            </w:r>
          </w:p>
        </w:tc>
        <w:tc>
          <w:tcPr>
            <w:tcW w:w="1305" w:type="dxa"/>
            <w:shd w:val="clear" w:color="auto" w:fill="D9D9D9"/>
            <w:tcMar>
              <w:top w:w="60" w:type="dxa"/>
              <w:left w:w="80" w:type="dxa"/>
              <w:bottom w:w="60" w:type="dxa"/>
              <w:right w:w="80" w:type="dxa"/>
            </w:tcMar>
            <w:vAlign w:val="center"/>
          </w:tcPr>
          <w:p>
            <w:pPr>
              <w:spacing w:after="0" w:line="240" w:lineRule="auto"/>
            </w:pPr>
            <w:r>
              <w:rPr>
                <w:rFonts w:ascii="Times New Roman" w:hAnsi="Times New Roman" w:cs="Times New Roman"/>
                <w:b/>
                <w:bCs/>
                <w:sz w:val="20"/>
                <w:szCs w:val="20"/>
              </w:rPr>
              <w:t xml:space="preserve">Porcentaje</w:t>
            </w:r>
          </w:p>
        </w:tc>
        <w:tc>
          <w:tcPr>
            <w:tcW w:w="1405" w:type="dxa"/>
            <w:shd w:val="clear" w:color="auto" w:fill="D9D9D9"/>
            <w:tcMar>
              <w:top w:w="60" w:type="dxa"/>
              <w:left w:w="80" w:type="dxa"/>
              <w:bottom w:w="60" w:type="dxa"/>
              <w:right w:w="80" w:type="dxa"/>
            </w:tcMar>
            <w:vAlign w:val="center"/>
          </w:tcPr>
          <w:p>
            <w:pPr>
              <w:spacing w:after="0" w:line="240" w:lineRule="auto"/>
            </w:pPr>
            <w:r>
              <w:rPr>
                <w:rFonts w:ascii="Times New Roman" w:hAnsi="Times New Roman" w:cs="Times New Roman"/>
                <w:b/>
                <w:bCs/>
                <w:sz w:val="20"/>
                <w:szCs w:val="20"/>
              </w:rPr>
              <w:t xml:space="preserve">Fallidos</w:t>
            </w:r>
          </w:p>
        </w:tc>
        <w:tc>
          <w:tcPr>
            <w:tcW w:w="4721" w:type="dxa"/>
            <w:shd w:val="clear" w:color="auto" w:fill="D9D9D9"/>
            <w:tcMar>
              <w:top w:w="60" w:type="dxa"/>
              <w:left w:w="80" w:type="dxa"/>
              <w:bottom w:w="60" w:type="dxa"/>
              <w:right w:w="80" w:type="dxa"/>
            </w:tcMar>
            <w:vAlign w:val="center"/>
          </w:tcPr>
          <w:p>
            <w:pPr>
              <w:spacing w:after="0" w:line="240" w:lineRule="auto"/>
            </w:pPr>
            <w:r>
              <w:rPr>
                <w:rFonts w:ascii="Times New Roman" w:hAnsi="Times New Roman" w:cs="Times New Roman"/>
                <w:b/>
                <w:bCs/>
                <w:sz w:val="20"/>
                <w:szCs w:val="20"/>
              </w:rPr>
              <w:t xml:space="preserve">Causa del cambio</w:t>
            </w:r>
          </w:p>
        </w:tc>
      </w:tr>
      <w:tr>
        <w:trPr>
          <w:cantSplit/>
        </w:trPr>
        <w:tc>
          <w:tcPr>
            <w:tcW w:w="1204" w:type="dxa"/>
            <w:tcMar>
              <w:top w:w="60" w:type="dxa"/>
              <w:left w:w="80" w:type="dxa"/>
              <w:bottom w:w="60" w:type="dxa"/>
              <w:right w:w="80" w:type="dxa"/>
            </w:tcMar>
            <w:vAlign w:val="center"/>
          </w:tcPr>
          <w:p>
            <w:pPr>
              <w:spacing w:after="0" w:line="240" w:lineRule="auto"/>
            </w:pPr>
            <w:r>
              <w:rPr>
                <w:rFonts w:ascii="Times New Roman" w:hAnsi="Times New Roman" w:cs="Times New Roman"/>
                <w:b/>
                <w:bCs/>
                <w:sz w:val="20"/>
                <w:szCs w:val="20"/>
              </w:rPr>
              <w:t xml:space="preserve">Corrida 1</w:t>
            </w:r>
          </w:p>
        </w:tc>
        <w:tc>
          <w:tcPr>
            <w:tcW w:w="1405" w:type="dxa"/>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13/15</w:t>
            </w:r>
          </w:p>
        </w:tc>
        <w:tc>
          <w:tcPr>
            <w:tcW w:w="1305" w:type="dxa"/>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86,7 %</w:t>
            </w:r>
          </w:p>
        </w:tc>
        <w:tc>
          <w:tcPr>
            <w:tcW w:w="1405" w:type="dxa"/>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CP-02, CP-06</w:t>
            </w:r>
          </w:p>
        </w:tc>
        <w:tc>
          <w:tcPr>
            <w:tcW w:w="4721" w:type="dxa"/>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Primera ejecución</w:t>
            </w:r>
          </w:p>
        </w:tc>
      </w:tr>
      <w:tr>
        <w:trPr>
          <w:cantSplit/>
        </w:trPr>
        <w:tc>
          <w:tcPr>
            <w:tcW w:w="1204" w:type="dxa"/>
            <w:shd w:val="clear" w:color="auto" w:fill="F2F2F2"/>
            <w:tcMar>
              <w:top w:w="60" w:type="dxa"/>
              <w:left w:w="80" w:type="dxa"/>
              <w:bottom w:w="60" w:type="dxa"/>
              <w:right w:w="80" w:type="dxa"/>
            </w:tcMar>
            <w:vAlign w:val="center"/>
          </w:tcPr>
          <w:p>
            <w:pPr>
              <w:spacing w:after="0" w:line="240" w:lineRule="auto"/>
            </w:pPr>
            <w:r>
              <w:rPr>
                <w:rFonts w:ascii="Times New Roman" w:hAnsi="Times New Roman" w:cs="Times New Roman"/>
                <w:b/>
                <w:bCs/>
                <w:sz w:val="20"/>
                <w:szCs w:val="20"/>
              </w:rPr>
              <w:t xml:space="preserve">Corrida 2</w:t>
            </w:r>
          </w:p>
        </w:tc>
        <w:tc>
          <w:tcPr>
            <w:tcW w:w="1405" w:type="dxa"/>
            <w:shd w:val="clear" w:color="auto" w:fill="F2F2F2"/>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14/15</w:t>
            </w:r>
          </w:p>
        </w:tc>
        <w:tc>
          <w:tcPr>
            <w:tcW w:w="1305" w:type="dxa"/>
            <w:shd w:val="clear" w:color="auto" w:fill="F2F2F2"/>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93,3 %</w:t>
            </w:r>
          </w:p>
        </w:tc>
        <w:tc>
          <w:tcPr>
            <w:tcW w:w="1405" w:type="dxa"/>
            <w:shd w:val="clear" w:color="auto" w:fill="F2F2F2"/>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CP-06</w:t>
            </w:r>
          </w:p>
        </w:tc>
        <w:tc>
          <w:tcPr>
            <w:tcW w:w="4721" w:type="dxa"/>
            <w:shd w:val="clear" w:color="auto" w:fill="F2F2F2"/>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Se corrigió DEF-01: validación de rol en 5 métodos de 3 controladores. CP-02 pasa. CP-06 queda pendiente de decisión</w:t>
            </w:r>
          </w:p>
        </w:tc>
      </w:tr>
      <w:tr>
        <w:trPr>
          <w:cantSplit/>
        </w:trPr>
        <w:tc>
          <w:tcPr>
            <w:tcW w:w="1204" w:type="dxa"/>
            <w:tcMar>
              <w:top w:w="60" w:type="dxa"/>
              <w:left w:w="80" w:type="dxa"/>
              <w:bottom w:w="60" w:type="dxa"/>
              <w:right w:w="80" w:type="dxa"/>
            </w:tcMar>
            <w:vAlign w:val="center"/>
          </w:tcPr>
          <w:p>
            <w:pPr>
              <w:spacing w:after="0" w:line="240" w:lineRule="auto"/>
            </w:pPr>
            <w:r>
              <w:rPr>
                <w:rFonts w:ascii="Times New Roman" w:hAnsi="Times New Roman" w:cs="Times New Roman"/>
                <w:b/>
                <w:bCs/>
                <w:sz w:val="20"/>
                <w:szCs w:val="20"/>
              </w:rPr>
              <w:t xml:space="preserve">Corrida 3</w:t>
            </w:r>
          </w:p>
        </w:tc>
        <w:tc>
          <w:tcPr>
            <w:tcW w:w="1405" w:type="dxa"/>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15/15</w:t>
            </w:r>
          </w:p>
        </w:tc>
        <w:tc>
          <w:tcPr>
            <w:tcW w:w="1305" w:type="dxa"/>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100 %</w:t>
            </w:r>
          </w:p>
        </w:tc>
        <w:tc>
          <w:tcPr>
            <w:tcW w:w="1405" w:type="dxa"/>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Ninguno</w:t>
            </w:r>
          </w:p>
        </w:tc>
        <w:tc>
          <w:tcPr>
            <w:tcW w:w="4721" w:type="dxa"/>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El equipo aclaró el requerimiento VIP (OBS-01) y CP-06 se ajustó al criterio "10 % después de 3 compras". El código no cambió</w:t>
            </w:r>
          </w:p>
        </w:tc>
      </w:tr>
      <w:tr>
        <w:trPr>
          <w:cantSplit/>
        </w:trPr>
        <w:tc>
          <w:tcPr>
            <w:tcW w:w="1204" w:type="dxa"/>
            <w:shd w:val="clear" w:color="auto" w:fill="F2F2F2"/>
            <w:tcMar>
              <w:top w:w="60" w:type="dxa"/>
              <w:left w:w="80" w:type="dxa"/>
              <w:bottom w:w="60" w:type="dxa"/>
              <w:right w:w="80" w:type="dxa"/>
            </w:tcMar>
            <w:vAlign w:val="center"/>
          </w:tcPr>
          <w:p>
            <w:pPr>
              <w:spacing w:after="0" w:line="240" w:lineRule="auto"/>
            </w:pPr>
            <w:r>
              <w:rPr>
                <w:rFonts w:ascii="Times New Roman" w:hAnsi="Times New Roman" w:cs="Times New Roman"/>
                <w:b/>
                <w:bCs/>
                <w:sz w:val="20"/>
                <w:szCs w:val="20"/>
              </w:rPr>
              <w:t xml:space="preserve">Corrida 4</w:t>
            </w:r>
          </w:p>
        </w:tc>
        <w:tc>
          <w:tcPr>
            <w:tcW w:w="1405" w:type="dxa"/>
            <w:shd w:val="clear" w:color="auto" w:fill="F2F2F2"/>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15/15</w:t>
            </w:r>
          </w:p>
        </w:tc>
        <w:tc>
          <w:tcPr>
            <w:tcW w:w="1305" w:type="dxa"/>
            <w:shd w:val="clear" w:color="auto" w:fill="F2F2F2"/>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100 %</w:t>
            </w:r>
          </w:p>
        </w:tc>
        <w:tc>
          <w:tcPr>
            <w:tcW w:w="1405" w:type="dxa"/>
            <w:shd w:val="clear" w:color="auto" w:fill="F2F2F2"/>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Ninguno</w:t>
            </w:r>
          </w:p>
        </w:tc>
        <w:tc>
          <w:tcPr>
            <w:tcW w:w="4721" w:type="dxa"/>
            <w:shd w:val="clear" w:color="auto" w:fill="F2F2F2"/>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Regresión tras corregir OBS-02 a OBS-05 (tope del descuento manual, diálogos en español, pausa de respaldo.bat, textos de ayuda y mensaje de registro). Los 15 casos siguen aprobando</w:t>
            </w:r>
          </w:p>
        </w:tc>
      </w:tr>
      <w:tr>
        <w:trPr>
          <w:cantSplit/>
        </w:trPr>
        <w:tc>
          <w:tcPr>
            <w:tcW w:w="1204" w:type="dxa"/>
            <w:tcMar>
              <w:top w:w="60" w:type="dxa"/>
              <w:left w:w="80" w:type="dxa"/>
              <w:bottom w:w="60" w:type="dxa"/>
              <w:right w:w="80" w:type="dxa"/>
            </w:tcMar>
            <w:vAlign w:val="center"/>
          </w:tcPr>
          <w:p>
            <w:pPr>
              <w:spacing w:after="0" w:line="240" w:lineRule="auto"/>
            </w:pPr>
            <w:r>
              <w:rPr>
                <w:rFonts w:ascii="Times New Roman" w:hAnsi="Times New Roman" w:cs="Times New Roman"/>
                <w:b/>
                <w:bCs/>
                <w:sz w:val="20"/>
                <w:szCs w:val="20"/>
              </w:rPr>
              <w:t xml:space="preserve">Corrida 5</w:t>
            </w:r>
          </w:p>
        </w:tc>
        <w:tc>
          <w:tcPr>
            <w:tcW w:w="1405" w:type="dxa"/>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15/15</w:t>
            </w:r>
          </w:p>
        </w:tc>
        <w:tc>
          <w:tcPr>
            <w:tcW w:w="1305" w:type="dxa"/>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100 %</w:t>
            </w:r>
          </w:p>
        </w:tc>
        <w:tc>
          <w:tcPr>
            <w:tcW w:w="1405" w:type="dxa"/>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Ninguno</w:t>
            </w:r>
          </w:p>
        </w:tc>
        <w:tc>
          <w:tcPr>
            <w:tcW w:w="4721" w:type="dxa"/>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Regresión tras quitar la pasarela de pago simulada (CAM-01): Yape o Plin solo se registra como forma de pago. CP-02 (la sección Pagos pasó a llamarse Negocio), CP-09 y CP-11 se ajustaron al cambio</w:t>
            </w:r>
          </w:p>
        </w:tc>
      </w:tr>
    </w:tbl>
    <w:p>
      <w:pPr>
        <w:spacing w:after="120"/>
      </w:pPr>
    </w:p>
    <w:p>
      <w:pPr>
        <w:spacing w:after="120"/>
        <w:jc w:val="both"/>
      </w:pPr>
      <w:r>
        <w:rPr>
          <w:rFonts w:ascii="Times New Roman" w:hAnsi="Times New Roman" w:cs="Times New Roman"/>
        </w:rPr>
        <w:t xml:space="preserve">Estado por corrida de los casos que cambiaron (los otros 13 casos pasaron en las cinco corridas):</w:t>
      </w:r>
    </w:p>
    <w:tbl>
      <w:tblPr>
        <w:tblW w:w="1004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10" w:type="dxa"/>
          <w:right w:w="10" w:type="dxa"/>
        </w:tblCellMar>
        <w:tblLook w:val="04A0" w:firstRow="1" w:lastRow="0" w:firstColumn="1" w:lastColumn="0" w:noHBand="0" w:noVBand="1"/>
      </w:tblPr>
      <w:tblGrid>
        <w:gridCol w:w="3012"/>
        <w:gridCol w:w="1405"/>
        <w:gridCol w:w="1405"/>
        <w:gridCol w:w="1405"/>
        <w:gridCol w:w="1405"/>
        <w:gridCol w:w="1408"/>
      </w:tblGrid>
      <w:tr>
        <w:trPr>
          <w:tblHeader/>
          <w:cantSplit/>
        </w:trPr>
        <w:tc>
          <w:tcPr>
            <w:tcW w:w="3012" w:type="dxa"/>
            <w:shd w:val="clear" w:color="auto" w:fill="D9D9D9"/>
            <w:tcMar>
              <w:top w:w="60" w:type="dxa"/>
              <w:left w:w="80" w:type="dxa"/>
              <w:bottom w:w="60" w:type="dxa"/>
              <w:right w:w="80" w:type="dxa"/>
            </w:tcMar>
            <w:vAlign w:val="center"/>
          </w:tcPr>
          <w:p>
            <w:pPr>
              <w:spacing w:after="0" w:line="240" w:lineRule="auto"/>
            </w:pPr>
            <w:r>
              <w:rPr>
                <w:rFonts w:ascii="Times New Roman" w:hAnsi="Times New Roman" w:cs="Times New Roman"/>
                <w:b/>
                <w:bCs/>
                <w:sz w:val="17"/>
                <w:szCs w:val="17"/>
              </w:rPr>
              <w:t xml:space="preserve">Caso</w:t>
            </w:r>
          </w:p>
        </w:tc>
        <w:tc>
          <w:tcPr>
            <w:tcW w:w="1405" w:type="dxa"/>
            <w:shd w:val="clear" w:color="auto" w:fill="D9D9D9"/>
            <w:tcMar>
              <w:top w:w="60" w:type="dxa"/>
              <w:left w:w="80" w:type="dxa"/>
              <w:bottom w:w="60" w:type="dxa"/>
              <w:right w:w="80" w:type="dxa"/>
            </w:tcMar>
            <w:vAlign w:val="center"/>
          </w:tcPr>
          <w:p>
            <w:pPr>
              <w:spacing w:after="0" w:line="240" w:lineRule="auto"/>
            </w:pPr>
            <w:r>
              <w:rPr>
                <w:rFonts w:ascii="Times New Roman" w:hAnsi="Times New Roman" w:cs="Times New Roman"/>
                <w:b/>
                <w:bCs/>
                <w:sz w:val="17"/>
                <w:szCs w:val="17"/>
              </w:rPr>
              <w:t xml:space="preserve">Corrida 1</w:t>
            </w:r>
          </w:p>
        </w:tc>
        <w:tc>
          <w:tcPr>
            <w:tcW w:w="1405" w:type="dxa"/>
            <w:shd w:val="clear" w:color="auto" w:fill="D9D9D9"/>
            <w:tcMar>
              <w:top w:w="60" w:type="dxa"/>
              <w:left w:w="80" w:type="dxa"/>
              <w:bottom w:w="60" w:type="dxa"/>
              <w:right w:w="80" w:type="dxa"/>
            </w:tcMar>
            <w:vAlign w:val="center"/>
          </w:tcPr>
          <w:p>
            <w:pPr>
              <w:spacing w:after="0" w:line="240" w:lineRule="auto"/>
            </w:pPr>
            <w:r>
              <w:rPr>
                <w:rFonts w:ascii="Times New Roman" w:hAnsi="Times New Roman" w:cs="Times New Roman"/>
                <w:b/>
                <w:bCs/>
                <w:sz w:val="17"/>
                <w:szCs w:val="17"/>
              </w:rPr>
              <w:t xml:space="preserve">Corrida 2</w:t>
            </w:r>
          </w:p>
        </w:tc>
        <w:tc>
          <w:tcPr>
            <w:tcW w:w="1405" w:type="dxa"/>
            <w:shd w:val="clear" w:color="auto" w:fill="D9D9D9"/>
            <w:tcMar>
              <w:top w:w="60" w:type="dxa"/>
              <w:left w:w="80" w:type="dxa"/>
              <w:bottom w:w="60" w:type="dxa"/>
              <w:right w:w="80" w:type="dxa"/>
            </w:tcMar>
            <w:vAlign w:val="center"/>
          </w:tcPr>
          <w:p>
            <w:pPr>
              <w:spacing w:after="0" w:line="240" w:lineRule="auto"/>
            </w:pPr>
            <w:r>
              <w:rPr>
                <w:rFonts w:ascii="Times New Roman" w:hAnsi="Times New Roman" w:cs="Times New Roman"/>
                <w:b/>
                <w:bCs/>
                <w:sz w:val="17"/>
                <w:szCs w:val="17"/>
              </w:rPr>
              <w:t xml:space="preserve">Corrida 3</w:t>
            </w:r>
          </w:p>
        </w:tc>
        <w:tc>
          <w:tcPr>
            <w:tcW w:w="1405" w:type="dxa"/>
            <w:shd w:val="clear" w:color="auto" w:fill="D9D9D9"/>
            <w:tcMar>
              <w:top w:w="60" w:type="dxa"/>
              <w:left w:w="80" w:type="dxa"/>
              <w:bottom w:w="60" w:type="dxa"/>
              <w:right w:w="80" w:type="dxa"/>
            </w:tcMar>
            <w:vAlign w:val="center"/>
          </w:tcPr>
          <w:p>
            <w:pPr>
              <w:spacing w:after="0" w:line="240" w:lineRule="auto"/>
            </w:pPr>
            <w:r>
              <w:rPr>
                <w:rFonts w:ascii="Times New Roman" w:hAnsi="Times New Roman" w:cs="Times New Roman"/>
                <w:b/>
                <w:bCs/>
                <w:sz w:val="17"/>
                <w:szCs w:val="17"/>
              </w:rPr>
              <w:t xml:space="preserve">Corrida 4</w:t>
            </w:r>
          </w:p>
        </w:tc>
        <w:tc>
          <w:tcPr>
            <w:tcW w:w="1408" w:type="dxa"/>
            <w:shd w:val="clear" w:color="auto" w:fill="D9D9D9"/>
            <w:tcMar>
              <w:top w:w="60" w:type="dxa"/>
              <w:left w:w="80" w:type="dxa"/>
              <w:bottom w:w="60" w:type="dxa"/>
              <w:right w:w="80" w:type="dxa"/>
            </w:tcMar>
            <w:vAlign w:val="center"/>
          </w:tcPr>
          <w:p>
            <w:pPr>
              <w:spacing w:after="0" w:line="240" w:lineRule="auto"/>
            </w:pPr>
            <w:r>
              <w:rPr>
                <w:rFonts w:ascii="Times New Roman" w:hAnsi="Times New Roman" w:cs="Times New Roman"/>
                <w:b/>
                <w:bCs/>
                <w:sz w:val="17"/>
                <w:szCs w:val="17"/>
              </w:rPr>
              <w:t xml:space="preserve">Corrida 5</w:t>
            </w:r>
          </w:p>
        </w:tc>
      </w:tr>
      <w:tr>
        <w:trPr>
          <w:cantSplit/>
        </w:trPr>
        <w:tc>
          <w:tcPr>
            <w:tcW w:w="3012" w:type="dxa"/>
            <w:tcMar>
              <w:top w:w="60" w:type="dxa"/>
              <w:left w:w="80" w:type="dxa"/>
              <w:bottom w:w="60" w:type="dxa"/>
              <w:right w:w="80" w:type="dxa"/>
            </w:tcMar>
            <w:vAlign w:val="center"/>
          </w:tcPr>
          <w:p>
            <w:pPr>
              <w:spacing w:after="0" w:line="240" w:lineRule="auto"/>
            </w:pPr>
            <w:r>
              <w:rPr>
                <w:rFonts w:ascii="Times New Roman" w:hAnsi="Times New Roman" w:cs="Times New Roman"/>
                <w:b/>
                <w:bCs/>
                <w:sz w:val="17"/>
                <w:szCs w:val="17"/>
              </w:rPr>
              <w:t xml:space="preserve">CP-02 Restricción por rol</w:t>
            </w:r>
          </w:p>
        </w:tc>
        <w:tc>
          <w:tcPr>
            <w:tcW w:w="1405" w:type="dxa"/>
            <w:shd w:val="clear" w:color="auto" w:fill="FBE4E4"/>
            <w:tcMar>
              <w:top w:w="60" w:type="dxa"/>
              <w:left w:w="80" w:type="dxa"/>
              <w:bottom w:w="60" w:type="dxa"/>
              <w:right w:w="80" w:type="dxa"/>
            </w:tcMar>
            <w:vAlign w:val="center"/>
          </w:tcPr>
          <w:p>
            <w:pPr>
              <w:spacing w:after="0" w:line="240" w:lineRule="auto"/>
            </w:pPr>
            <w:r>
              <w:rPr>
                <w:rFonts w:ascii="Times New Roman" w:hAnsi="Times New Roman" w:cs="Times New Roman"/>
                <w:b/>
                <w:bCs/>
                <w:color w:val="C00000"/>
                <w:sz w:val="17"/>
                <w:szCs w:val="17"/>
              </w:rPr>
              <w:t xml:space="preserve">Falló</w:t>
            </w:r>
          </w:p>
        </w:tc>
        <w:tc>
          <w:tcPr>
            <w:tcW w:w="1405" w:type="dxa"/>
            <w:shd w:val="clear" w:color="auto" w:fill="E2F0D9"/>
            <w:tcMar>
              <w:top w:w="60" w:type="dxa"/>
              <w:left w:w="80" w:type="dxa"/>
              <w:bottom w:w="60" w:type="dxa"/>
              <w:right w:w="80" w:type="dxa"/>
            </w:tcMar>
            <w:vAlign w:val="center"/>
          </w:tcPr>
          <w:p>
            <w:pPr>
              <w:spacing w:after="0" w:line="240" w:lineRule="auto"/>
            </w:pPr>
            <w:r>
              <w:rPr>
                <w:rFonts w:ascii="Times New Roman" w:hAnsi="Times New Roman" w:cs="Times New Roman"/>
                <w:b/>
                <w:bCs/>
                <w:color w:val="1E7B34"/>
                <w:sz w:val="17"/>
                <w:szCs w:val="17"/>
              </w:rPr>
              <w:t xml:space="preserve">Pasó</w:t>
            </w:r>
          </w:p>
        </w:tc>
        <w:tc>
          <w:tcPr>
            <w:tcW w:w="1405" w:type="dxa"/>
            <w:shd w:val="clear" w:color="auto" w:fill="E2F0D9"/>
            <w:tcMar>
              <w:top w:w="60" w:type="dxa"/>
              <w:left w:w="80" w:type="dxa"/>
              <w:bottom w:w="60" w:type="dxa"/>
              <w:right w:w="80" w:type="dxa"/>
            </w:tcMar>
            <w:vAlign w:val="center"/>
          </w:tcPr>
          <w:p>
            <w:pPr>
              <w:spacing w:after="0" w:line="240" w:lineRule="auto"/>
            </w:pPr>
            <w:r>
              <w:rPr>
                <w:rFonts w:ascii="Times New Roman" w:hAnsi="Times New Roman" w:cs="Times New Roman"/>
                <w:b/>
                <w:bCs/>
                <w:color w:val="1E7B34"/>
                <w:sz w:val="17"/>
                <w:szCs w:val="17"/>
              </w:rPr>
              <w:t xml:space="preserve">Pasó</w:t>
            </w:r>
          </w:p>
        </w:tc>
        <w:tc>
          <w:tcPr>
            <w:tcW w:w="1405" w:type="dxa"/>
            <w:shd w:val="clear" w:color="auto" w:fill="E2F0D9"/>
            <w:tcMar>
              <w:top w:w="60" w:type="dxa"/>
              <w:left w:w="80" w:type="dxa"/>
              <w:bottom w:w="60" w:type="dxa"/>
              <w:right w:w="80" w:type="dxa"/>
            </w:tcMar>
            <w:vAlign w:val="center"/>
          </w:tcPr>
          <w:p>
            <w:pPr>
              <w:spacing w:after="0" w:line="240" w:lineRule="auto"/>
            </w:pPr>
            <w:r>
              <w:rPr>
                <w:rFonts w:ascii="Times New Roman" w:hAnsi="Times New Roman" w:cs="Times New Roman"/>
                <w:b/>
                <w:bCs/>
                <w:color w:val="1E7B34"/>
                <w:sz w:val="17"/>
                <w:szCs w:val="17"/>
              </w:rPr>
              <w:t xml:space="preserve">Pasó</w:t>
            </w:r>
          </w:p>
        </w:tc>
        <w:tc>
          <w:tcPr>
            <w:tcW w:w="1408" w:type="dxa"/>
            <w:shd w:val="clear" w:color="auto" w:fill="E2F0D9"/>
            <w:tcMar>
              <w:top w:w="60" w:type="dxa"/>
              <w:left w:w="80" w:type="dxa"/>
              <w:bottom w:w="60" w:type="dxa"/>
              <w:right w:w="80" w:type="dxa"/>
            </w:tcMar>
            <w:vAlign w:val="center"/>
          </w:tcPr>
          <w:p>
            <w:pPr>
              <w:spacing w:after="0" w:line="240" w:lineRule="auto"/>
            </w:pPr>
            <w:r>
              <w:rPr>
                <w:rFonts w:ascii="Times New Roman" w:hAnsi="Times New Roman" w:cs="Times New Roman"/>
                <w:b/>
                <w:bCs/>
                <w:color w:val="1E7B34"/>
                <w:sz w:val="17"/>
                <w:szCs w:val="17"/>
              </w:rPr>
              <w:t xml:space="preserve">Pasó</w:t>
            </w:r>
          </w:p>
        </w:tc>
      </w:tr>
      <w:tr>
        <w:trPr>
          <w:cantSplit/>
        </w:trPr>
        <w:tc>
          <w:tcPr>
            <w:tcW w:w="3012" w:type="dxa"/>
            <w:shd w:val="clear" w:color="auto" w:fill="F2F2F2"/>
            <w:tcMar>
              <w:top w:w="60" w:type="dxa"/>
              <w:left w:w="80" w:type="dxa"/>
              <w:bottom w:w="60" w:type="dxa"/>
              <w:right w:w="80" w:type="dxa"/>
            </w:tcMar>
            <w:vAlign w:val="center"/>
          </w:tcPr>
          <w:p>
            <w:pPr>
              <w:spacing w:after="0" w:line="240" w:lineRule="auto"/>
            </w:pPr>
            <w:r>
              <w:rPr>
                <w:rFonts w:ascii="Times New Roman" w:hAnsi="Times New Roman" w:cs="Times New Roman"/>
                <w:b/>
                <w:bCs/>
                <w:sz w:val="17"/>
                <w:szCs w:val="17"/>
              </w:rPr>
              <w:t xml:space="preserve">CP-06 Descuento VIP</w:t>
            </w:r>
          </w:p>
        </w:tc>
        <w:tc>
          <w:tcPr>
            <w:tcW w:w="1405" w:type="dxa"/>
            <w:shd w:val="clear" w:color="auto" w:fill="FBE4E4"/>
            <w:tcMar>
              <w:top w:w="60" w:type="dxa"/>
              <w:left w:w="80" w:type="dxa"/>
              <w:bottom w:w="60" w:type="dxa"/>
              <w:right w:w="80" w:type="dxa"/>
            </w:tcMar>
            <w:vAlign w:val="center"/>
          </w:tcPr>
          <w:p>
            <w:pPr>
              <w:spacing w:after="0" w:line="240" w:lineRule="auto"/>
            </w:pPr>
            <w:r>
              <w:rPr>
                <w:rFonts w:ascii="Times New Roman" w:hAnsi="Times New Roman" w:cs="Times New Roman"/>
                <w:b/>
                <w:bCs/>
                <w:color w:val="C00000"/>
                <w:sz w:val="17"/>
                <w:szCs w:val="17"/>
              </w:rPr>
              <w:t xml:space="preserve">Falló</w:t>
            </w:r>
          </w:p>
        </w:tc>
        <w:tc>
          <w:tcPr>
            <w:tcW w:w="1405" w:type="dxa"/>
            <w:shd w:val="clear" w:color="auto" w:fill="FBE4E4"/>
            <w:tcMar>
              <w:top w:w="60" w:type="dxa"/>
              <w:left w:w="80" w:type="dxa"/>
              <w:bottom w:w="60" w:type="dxa"/>
              <w:right w:w="80" w:type="dxa"/>
            </w:tcMar>
            <w:vAlign w:val="center"/>
          </w:tcPr>
          <w:p>
            <w:pPr>
              <w:spacing w:after="0" w:line="240" w:lineRule="auto"/>
            </w:pPr>
            <w:r>
              <w:rPr>
                <w:rFonts w:ascii="Times New Roman" w:hAnsi="Times New Roman" w:cs="Times New Roman"/>
                <w:b/>
                <w:bCs/>
                <w:color w:val="C00000"/>
                <w:sz w:val="17"/>
                <w:szCs w:val="17"/>
              </w:rPr>
              <w:t xml:space="preserve">Falló</w:t>
            </w:r>
          </w:p>
        </w:tc>
        <w:tc>
          <w:tcPr>
            <w:tcW w:w="1405" w:type="dxa"/>
            <w:shd w:val="clear" w:color="auto" w:fill="E2F0D9"/>
            <w:tcMar>
              <w:top w:w="60" w:type="dxa"/>
              <w:left w:w="80" w:type="dxa"/>
              <w:bottom w:w="60" w:type="dxa"/>
              <w:right w:w="80" w:type="dxa"/>
            </w:tcMar>
            <w:vAlign w:val="center"/>
          </w:tcPr>
          <w:p>
            <w:pPr>
              <w:spacing w:after="0" w:line="240" w:lineRule="auto"/>
            </w:pPr>
            <w:r>
              <w:rPr>
                <w:rFonts w:ascii="Times New Roman" w:hAnsi="Times New Roman" w:cs="Times New Roman"/>
                <w:b/>
                <w:bCs/>
                <w:color w:val="1E7B34"/>
                <w:sz w:val="17"/>
                <w:szCs w:val="17"/>
              </w:rPr>
              <w:t xml:space="preserve">Pasó</w:t>
            </w:r>
          </w:p>
        </w:tc>
        <w:tc>
          <w:tcPr>
            <w:tcW w:w="1405" w:type="dxa"/>
            <w:shd w:val="clear" w:color="auto" w:fill="E2F0D9"/>
            <w:tcMar>
              <w:top w:w="60" w:type="dxa"/>
              <w:left w:w="80" w:type="dxa"/>
              <w:bottom w:w="60" w:type="dxa"/>
              <w:right w:w="80" w:type="dxa"/>
            </w:tcMar>
            <w:vAlign w:val="center"/>
          </w:tcPr>
          <w:p>
            <w:pPr>
              <w:spacing w:after="0" w:line="240" w:lineRule="auto"/>
            </w:pPr>
            <w:r>
              <w:rPr>
                <w:rFonts w:ascii="Times New Roman" w:hAnsi="Times New Roman" w:cs="Times New Roman"/>
                <w:b/>
                <w:bCs/>
                <w:color w:val="1E7B34"/>
                <w:sz w:val="17"/>
                <w:szCs w:val="17"/>
              </w:rPr>
              <w:t xml:space="preserve">Pasó</w:t>
            </w:r>
          </w:p>
        </w:tc>
        <w:tc>
          <w:tcPr>
            <w:tcW w:w="1408" w:type="dxa"/>
            <w:shd w:val="clear" w:color="auto" w:fill="E2F0D9"/>
            <w:tcMar>
              <w:top w:w="60" w:type="dxa"/>
              <w:left w:w="80" w:type="dxa"/>
              <w:bottom w:w="60" w:type="dxa"/>
              <w:right w:w="80" w:type="dxa"/>
            </w:tcMar>
            <w:vAlign w:val="center"/>
          </w:tcPr>
          <w:p>
            <w:pPr>
              <w:spacing w:after="0" w:line="240" w:lineRule="auto"/>
            </w:pPr>
            <w:r>
              <w:rPr>
                <w:rFonts w:ascii="Times New Roman" w:hAnsi="Times New Roman" w:cs="Times New Roman"/>
                <w:b/>
                <w:bCs/>
                <w:color w:val="1E7B34"/>
                <w:sz w:val="17"/>
                <w:szCs w:val="17"/>
              </w:rPr>
              <w:t xml:space="preserve">Pasó</w:t>
            </w:r>
          </w:p>
        </w:tc>
      </w:tr>
    </w:tbl>
    <w:p>
      <w:pPr>
        <w:spacing w:after="120"/>
      </w:pPr>
    </w:p>
    <w:p>
      <w:pPr>
        <w:spacing w:after="120"/>
        <w:jc w:val="both"/>
      </w:pPr>
      <w:r>
        <w:rPr>
          <w:rFonts w:ascii="Times New Roman" w:hAnsi="Times New Roman" w:cs="Times New Roman"/>
          <w:b/>
          <w:bCs/>
        </w:rPr>
        <w:t xml:space="preserve">Resultado final: </w:t>
      </w:r>
      <w:r>
        <w:rPr>
          <w:rFonts w:ascii="Times New Roman" w:hAnsi="Times New Roman" w:cs="Times New Roman"/>
        </w:rPr>
        <w:t xml:space="preserve">15 de 15 casos aprobados (100 %) en las corridas 3, 4 y 5. Cada corrida dura unos 15 segundos y se puede repetir.</w:t>
      </w:r>
    </w:p>
    <w:p>
      <w:pPr>
        <w:spacing w:after="120"/>
        <w:jc w:val="both"/>
      </w:pPr>
      <w:r>
        <w:rPr>
          <w:rFonts w:ascii="Times New Roman" w:hAnsi="Times New Roman" w:cs="Times New Roman"/>
          <w:b/>
          <w:bCs/>
        </w:rPr>
        <w:t xml:space="preserve">Verificaciones adicionales (corrida 2): </w:t>
      </w:r>
      <w:r>
        <w:rPr>
          <w:rFonts w:ascii="Times New Roman" w:hAnsi="Times New Roman" w:cs="Times New Roman"/>
        </w:rPr>
        <w:t xml:space="preserve">los cinco métodos protegidos rechazan al personal y siguen funcionando para el administrador; la aplicación compila; el login y la venta en efectivo funcionan con Personal1 y admin; la base seipo_db quedó intacta (7 841 ventas, 3 usuarios).</w:t>
      </w:r>
    </w:p>
    <w:p>
      <w:pPr>
        <w:spacing w:after="120"/>
        <w:jc w:val="both"/>
      </w:pPr>
      <w:r>
        <w:rPr>
          <w:rFonts w:ascii="Times New Roman" w:hAnsi="Times New Roman" w:cs="Times New Roman"/>
          <w:b/>
          <w:bCs/>
        </w:rPr>
        <w:t xml:space="preserve">Verificaciones adicionales (corrida 4): </w:t>
      </w:r>
      <w:r>
        <w:rPr>
          <w:rFonts w:ascii="Times New Roman" w:hAnsi="Times New Roman" w:cs="Times New Roman"/>
        </w:rPr>
        <w:t xml:space="preserve">el personal puede aplicar hasta 10 % de descuento manual (10,5 % se rechaza) y el VIP de 15 % de un cliente Platino se respeta; el administrador aplicó 30 %. Los diálogos muestran Aceptar, Cancelar, Sí, No y Guardar. respaldo.bat pausa al terminar y no pausa con /sinpausa, y conserva sus códigos de salida (0 y 1).</w:t>
      </w:r>
    </w:p>
    <w:p>
      <w:pPr>
        <w:spacing w:after="120"/>
        <w:jc w:val="both"/>
      </w:pPr>
      <w:r>
        <w:rPr>
          <w:rFonts w:ascii="Times New Roman" w:hAnsi="Times New Roman" w:cs="Times New Roman"/>
          <w:b/>
          <w:bCs/>
        </w:rPr>
        <w:t xml:space="preserve">Verificaciones adicionales (corrida 5): </w:t>
      </w:r>
      <w:r>
        <w:rPr>
          <w:rFonts w:ascii="Times New Roman" w:hAnsi="Times New Roman" w:cs="Times New Roman"/>
        </w:rPr>
        <w:t xml:space="preserve">la aplicación compila sin la pasarela de pago simulada. Al iniciar, el sistema borra la tabla de transacciones de la pasarela y su configuración en las bases creadas con versiones anteriores, y la copia de la base de datos ya no las incluye.</w:t>
      </w:r>
    </w:p>
    <w:p>
      <w:pPr>
        <w:pStyle w:val="Ttulo2"/>
      </w:pPr>
      <w:r>
        <w:rPr>
          <w:rFonts w:ascii="Times New Roman" w:hAnsi="Times New Roman" w:cs="Times New Roman"/>
          <w:b/>
          <w:bCs/>
        </w:rPr>
        <w:t xml:space="preserve">7. Defectos y observaciones</w:t>
      </w:r>
    </w:p>
    <w:tbl>
      <w:tblPr>
        <w:tblW w:w="1004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10" w:type="dxa"/>
          <w:right w:w="10" w:type="dxa"/>
        </w:tblCellMar>
        <w:tblLook w:val="04A0" w:firstRow="1" w:lastRow="0" w:firstColumn="1" w:lastColumn="0" w:noHBand="0" w:noVBand="1"/>
      </w:tblPr>
      <w:tblGrid>
        <w:gridCol w:w="1104"/>
        <w:gridCol w:w="903"/>
        <w:gridCol w:w="4919"/>
        <w:gridCol w:w="1305"/>
        <w:gridCol w:w="1809"/>
      </w:tblGrid>
      <w:tr>
        <w:trPr>
          <w:tblHeader/>
          <w:cantSplit/>
        </w:trPr>
        <w:tc>
          <w:tcPr>
            <w:tcW w:w="1104" w:type="dxa"/>
            <w:shd w:val="clear" w:color="auto" w:fill="D9D9D9"/>
            <w:tcMar>
              <w:top w:w="60" w:type="dxa"/>
              <w:left w:w="80" w:type="dxa"/>
              <w:bottom w:w="60" w:type="dxa"/>
              <w:right w:w="80" w:type="dxa"/>
            </w:tcMar>
            <w:vAlign w:val="center"/>
          </w:tcPr>
          <w:p>
            <w:pPr>
              <w:spacing w:after="0" w:line="240" w:lineRule="auto"/>
            </w:pPr>
            <w:r>
              <w:rPr>
                <w:rFonts w:ascii="Times New Roman" w:hAnsi="Times New Roman" w:cs="Times New Roman"/>
                <w:b/>
                <w:bCs/>
                <w:sz w:val="20"/>
                <w:szCs w:val="20"/>
              </w:rPr>
              <w:t xml:space="preserve">ID</w:t>
            </w:r>
          </w:p>
        </w:tc>
        <w:tc>
          <w:tcPr>
            <w:tcW w:w="903" w:type="dxa"/>
            <w:shd w:val="clear" w:color="auto" w:fill="D9D9D9"/>
            <w:tcMar>
              <w:top w:w="60" w:type="dxa"/>
              <w:left w:w="80" w:type="dxa"/>
              <w:bottom w:w="60" w:type="dxa"/>
              <w:right w:w="80" w:type="dxa"/>
            </w:tcMar>
            <w:vAlign w:val="center"/>
          </w:tcPr>
          <w:p>
            <w:pPr>
              <w:spacing w:after="0" w:line="240" w:lineRule="auto"/>
            </w:pPr>
            <w:r>
              <w:rPr>
                <w:rFonts w:ascii="Times New Roman" w:hAnsi="Times New Roman" w:cs="Times New Roman"/>
                <w:b/>
                <w:bCs/>
                <w:sz w:val="20"/>
                <w:szCs w:val="20"/>
              </w:rPr>
              <w:t xml:space="preserve">Caso</w:t>
            </w:r>
          </w:p>
        </w:tc>
        <w:tc>
          <w:tcPr>
            <w:tcW w:w="4919" w:type="dxa"/>
            <w:shd w:val="clear" w:color="auto" w:fill="D9D9D9"/>
            <w:tcMar>
              <w:top w:w="60" w:type="dxa"/>
              <w:left w:w="80" w:type="dxa"/>
              <w:bottom w:w="60" w:type="dxa"/>
              <w:right w:w="80" w:type="dxa"/>
            </w:tcMar>
            <w:vAlign w:val="center"/>
          </w:tcPr>
          <w:p>
            <w:pPr>
              <w:spacing w:after="0" w:line="240" w:lineRule="auto"/>
            </w:pPr>
            <w:r>
              <w:rPr>
                <w:rFonts w:ascii="Times New Roman" w:hAnsi="Times New Roman" w:cs="Times New Roman"/>
                <w:b/>
                <w:bCs/>
                <w:sz w:val="20"/>
                <w:szCs w:val="20"/>
              </w:rPr>
              <w:t xml:space="preserve">Descripción</w:t>
            </w:r>
          </w:p>
        </w:tc>
        <w:tc>
          <w:tcPr>
            <w:tcW w:w="1305" w:type="dxa"/>
            <w:shd w:val="clear" w:color="auto" w:fill="D9D9D9"/>
            <w:tcMar>
              <w:top w:w="60" w:type="dxa"/>
              <w:left w:w="80" w:type="dxa"/>
              <w:bottom w:w="60" w:type="dxa"/>
              <w:right w:w="80" w:type="dxa"/>
            </w:tcMar>
            <w:vAlign w:val="center"/>
          </w:tcPr>
          <w:p>
            <w:pPr>
              <w:spacing w:after="0" w:line="240" w:lineRule="auto"/>
            </w:pPr>
            <w:r>
              <w:rPr>
                <w:rFonts w:ascii="Times New Roman" w:hAnsi="Times New Roman" w:cs="Times New Roman"/>
                <w:b/>
                <w:bCs/>
                <w:sz w:val="20"/>
                <w:szCs w:val="20"/>
              </w:rPr>
              <w:t xml:space="preserve">Severidad</w:t>
            </w:r>
          </w:p>
        </w:tc>
        <w:tc>
          <w:tcPr>
            <w:tcW w:w="1809" w:type="dxa"/>
            <w:shd w:val="clear" w:color="auto" w:fill="D9D9D9"/>
            <w:tcMar>
              <w:top w:w="60" w:type="dxa"/>
              <w:left w:w="80" w:type="dxa"/>
              <w:bottom w:w="60" w:type="dxa"/>
              <w:right w:w="80" w:type="dxa"/>
            </w:tcMar>
            <w:vAlign w:val="center"/>
          </w:tcPr>
          <w:p>
            <w:pPr>
              <w:spacing w:after="0" w:line="240" w:lineRule="auto"/>
            </w:pPr>
            <w:r>
              <w:rPr>
                <w:rFonts w:ascii="Times New Roman" w:hAnsi="Times New Roman" w:cs="Times New Roman"/>
                <w:b/>
                <w:bCs/>
                <w:sz w:val="20"/>
                <w:szCs w:val="20"/>
              </w:rPr>
              <w:t xml:space="preserve">Estado</w:t>
            </w:r>
          </w:p>
        </w:tc>
      </w:tr>
      <w:tr>
        <w:trPr>
          <w:cantSplit/>
        </w:trPr>
        <w:tc>
          <w:tcPr>
            <w:tcW w:w="1104" w:type="dxa"/>
            <w:tcMar>
              <w:top w:w="60" w:type="dxa"/>
              <w:left w:w="80" w:type="dxa"/>
              <w:bottom w:w="60" w:type="dxa"/>
              <w:right w:w="80" w:type="dxa"/>
            </w:tcMar>
            <w:vAlign w:val="center"/>
          </w:tcPr>
          <w:p>
            <w:pPr>
              <w:spacing w:after="0" w:line="240" w:lineRule="auto"/>
            </w:pPr>
            <w:r>
              <w:rPr>
                <w:rFonts w:ascii="Times New Roman" w:hAnsi="Times New Roman" w:cs="Times New Roman"/>
                <w:b/>
                <w:bCs/>
                <w:sz w:val="20"/>
                <w:szCs w:val="20"/>
              </w:rPr>
              <w:t xml:space="preserve">DEF-01</w:t>
            </w:r>
          </w:p>
        </w:tc>
        <w:tc>
          <w:tcPr>
            <w:tcW w:w="903" w:type="dxa"/>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CP-02</w:t>
            </w:r>
          </w:p>
        </w:tc>
        <w:tc>
          <w:tcPr>
            <w:tcW w:w="4919" w:type="dxa"/>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La restricción por rol existía solo en la interfaz; el personal podía crear una cuenta de administrador. Se corrigió en la corrida 2 validando el rol en ControladorUsuarios.registrarUsuario, actualizarUsuario y cambiarPassword, ControladorReportes.obtenerReporte y ControladorPasarela.listarTransacciones (10 líneas en 3 controladores)</w:t>
            </w:r>
          </w:p>
        </w:tc>
        <w:tc>
          <w:tcPr>
            <w:tcW w:w="1305" w:type="dxa"/>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Alta</w:t>
            </w:r>
          </w:p>
        </w:tc>
        <w:tc>
          <w:tcPr>
            <w:tcW w:w="1809" w:type="dxa"/>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Corregido y verificado</w:t>
            </w:r>
          </w:p>
        </w:tc>
      </w:tr>
      <w:tr>
        <w:trPr>
          <w:cantSplit/>
        </w:trPr>
        <w:tc>
          <w:tcPr>
            <w:tcW w:w="1104" w:type="dxa"/>
            <w:shd w:val="clear" w:color="auto" w:fill="F2F2F2"/>
            <w:tcMar>
              <w:top w:w="60" w:type="dxa"/>
              <w:left w:w="80" w:type="dxa"/>
              <w:bottom w:w="60" w:type="dxa"/>
              <w:right w:w="80" w:type="dxa"/>
            </w:tcMar>
            <w:vAlign w:val="center"/>
          </w:tcPr>
          <w:p>
            <w:pPr>
              <w:spacing w:after="0" w:line="240" w:lineRule="auto"/>
            </w:pPr>
            <w:r>
              <w:rPr>
                <w:rFonts w:ascii="Times New Roman" w:hAnsi="Times New Roman" w:cs="Times New Roman"/>
                <w:b/>
                <w:bCs/>
                <w:sz w:val="20"/>
                <w:szCs w:val="20"/>
              </w:rPr>
              <w:t xml:space="preserve">OBS-01</w:t>
            </w:r>
          </w:p>
        </w:tc>
        <w:tc>
          <w:tcPr>
            <w:tcW w:w="903" w:type="dxa"/>
            <w:shd w:val="clear" w:color="auto" w:fill="F2F2F2"/>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CP-06</w:t>
            </w:r>
          </w:p>
        </w:tc>
        <w:tc>
          <w:tcPr>
            <w:tcW w:w="4919" w:type="dxa"/>
            <w:shd w:val="clear" w:color="auto" w:fill="F2F2F2"/>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Ambigüedad del requerimiento: "10 % desde la tercera compra" se podía leer como la 3.ª compra, mientras el sistema lo da desde la 4.ª. Se resolvió aclarando el documento ("10 % después de 3 compras, a partir de la 4.ª compra"); el código no cambió</w:t>
            </w:r>
          </w:p>
        </w:tc>
        <w:tc>
          <w:tcPr>
            <w:tcW w:w="1305" w:type="dxa"/>
            <w:shd w:val="clear" w:color="auto" w:fill="F2F2F2"/>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Media</w:t>
            </w:r>
          </w:p>
        </w:tc>
        <w:tc>
          <w:tcPr>
            <w:tcW w:w="1809" w:type="dxa"/>
            <w:shd w:val="clear" w:color="auto" w:fill="F2F2F2"/>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Resuelto (aclaración del requerimiento)</w:t>
            </w:r>
          </w:p>
        </w:tc>
      </w:tr>
      <w:tr>
        <w:trPr>
          <w:cantSplit/>
        </w:trPr>
        <w:tc>
          <w:tcPr>
            <w:tcW w:w="1104" w:type="dxa"/>
            <w:tcMar>
              <w:top w:w="60" w:type="dxa"/>
              <w:left w:w="80" w:type="dxa"/>
              <w:bottom w:w="60" w:type="dxa"/>
              <w:right w:w="80" w:type="dxa"/>
            </w:tcMar>
            <w:vAlign w:val="center"/>
          </w:tcPr>
          <w:p>
            <w:pPr>
              <w:spacing w:after="0" w:line="240" w:lineRule="auto"/>
            </w:pPr>
            <w:r>
              <w:rPr>
                <w:rFonts w:ascii="Times New Roman" w:hAnsi="Times New Roman" w:cs="Times New Roman"/>
                <w:b/>
                <w:bCs/>
                <w:sz w:val="20"/>
                <w:szCs w:val="20"/>
              </w:rPr>
              <w:t xml:space="preserve">OBS-02</w:t>
            </w:r>
          </w:p>
        </w:tc>
        <w:tc>
          <w:tcPr>
            <w:tcW w:w="903" w:type="dxa"/>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w:t>
            </w:r>
          </w:p>
        </w:tc>
        <w:tc>
          <w:tcPr>
            <w:tcW w:w="4919" w:type="dxa"/>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Descuento manual (F6) sin tope para el personal. Ahora el personal puede aplicar como máximo 10 %; se valida en la pantalla y en el controlador, y el VIP automático no cambia</w:t>
            </w:r>
          </w:p>
        </w:tc>
        <w:tc>
          <w:tcPr>
            <w:tcW w:w="1305" w:type="dxa"/>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Media</w:t>
            </w:r>
          </w:p>
        </w:tc>
        <w:tc>
          <w:tcPr>
            <w:tcW w:w="1809" w:type="dxa"/>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Corregido y verificado (corrida 4)</w:t>
            </w:r>
          </w:p>
        </w:tc>
      </w:tr>
      <w:tr>
        <w:trPr>
          <w:cantSplit/>
        </w:trPr>
        <w:tc>
          <w:tcPr>
            <w:tcW w:w="1104" w:type="dxa"/>
            <w:shd w:val="clear" w:color="auto" w:fill="F2F2F2"/>
            <w:tcMar>
              <w:top w:w="60" w:type="dxa"/>
              <w:left w:w="80" w:type="dxa"/>
              <w:bottom w:w="60" w:type="dxa"/>
              <w:right w:w="80" w:type="dxa"/>
            </w:tcMar>
            <w:vAlign w:val="center"/>
          </w:tcPr>
          <w:p>
            <w:pPr>
              <w:spacing w:after="0" w:line="240" w:lineRule="auto"/>
            </w:pPr>
            <w:r>
              <w:rPr>
                <w:rFonts w:ascii="Times New Roman" w:hAnsi="Times New Roman" w:cs="Times New Roman"/>
                <w:b/>
                <w:bCs/>
                <w:sz w:val="20"/>
                <w:szCs w:val="20"/>
              </w:rPr>
              <w:t xml:space="preserve">OBS-03</w:t>
            </w:r>
          </w:p>
        </w:tc>
        <w:tc>
          <w:tcPr>
            <w:tcW w:w="903" w:type="dxa"/>
            <w:shd w:val="clear" w:color="auto" w:fill="F2F2F2"/>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w:t>
            </w:r>
          </w:p>
        </w:tc>
        <w:tc>
          <w:tcPr>
            <w:tcW w:w="4919" w:type="dxa"/>
            <w:shd w:val="clear" w:color="auto" w:fill="F2F2F2"/>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Botones de los diálogos en inglés (OK, Cancel, Yes, No, Save). Ahora aparecen en español mediante UIManager</w:t>
            </w:r>
          </w:p>
        </w:tc>
        <w:tc>
          <w:tcPr>
            <w:tcW w:w="1305" w:type="dxa"/>
            <w:shd w:val="clear" w:color="auto" w:fill="F2F2F2"/>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Baja</w:t>
            </w:r>
          </w:p>
        </w:tc>
        <w:tc>
          <w:tcPr>
            <w:tcW w:w="1809" w:type="dxa"/>
            <w:shd w:val="clear" w:color="auto" w:fill="F2F2F2"/>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Corregido y verificado (corrida 4)</w:t>
            </w:r>
          </w:p>
        </w:tc>
      </w:tr>
      <w:tr>
        <w:trPr>
          <w:cantSplit/>
        </w:trPr>
        <w:tc>
          <w:tcPr>
            <w:tcW w:w="1104" w:type="dxa"/>
            <w:tcMar>
              <w:top w:w="60" w:type="dxa"/>
              <w:left w:w="80" w:type="dxa"/>
              <w:bottom w:w="60" w:type="dxa"/>
              <w:right w:w="80" w:type="dxa"/>
            </w:tcMar>
            <w:vAlign w:val="center"/>
          </w:tcPr>
          <w:p>
            <w:pPr>
              <w:spacing w:after="0" w:line="240" w:lineRule="auto"/>
            </w:pPr>
            <w:r>
              <w:rPr>
                <w:rFonts w:ascii="Times New Roman" w:hAnsi="Times New Roman" w:cs="Times New Roman"/>
                <w:b/>
                <w:bCs/>
                <w:sz w:val="20"/>
                <w:szCs w:val="20"/>
              </w:rPr>
              <w:t xml:space="preserve">OBS-04</w:t>
            </w:r>
          </w:p>
        </w:tc>
        <w:tc>
          <w:tcPr>
            <w:tcW w:w="903" w:type="dxa"/>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w:t>
            </w:r>
          </w:p>
        </w:tc>
        <w:tc>
          <w:tcPr>
            <w:tcW w:w="4919" w:type="dxa"/>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respaldo.bat se cerraba sin mostrar el resultado. Ahora pausa al final; el Programador de tareas lo ejecuta con /sinpausa</w:t>
            </w:r>
          </w:p>
        </w:tc>
        <w:tc>
          <w:tcPr>
            <w:tcW w:w="1305" w:type="dxa"/>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Baja</w:t>
            </w:r>
          </w:p>
        </w:tc>
        <w:tc>
          <w:tcPr>
            <w:tcW w:w="1809" w:type="dxa"/>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Corregido y verificado (corrida 4)</w:t>
            </w:r>
          </w:p>
        </w:tc>
      </w:tr>
      <w:tr>
        <w:trPr>
          <w:cantSplit/>
        </w:trPr>
        <w:tc>
          <w:tcPr>
            <w:tcW w:w="1104" w:type="dxa"/>
            <w:shd w:val="clear" w:color="auto" w:fill="F2F2F2"/>
            <w:tcMar>
              <w:top w:w="60" w:type="dxa"/>
              <w:left w:w="80" w:type="dxa"/>
              <w:bottom w:w="60" w:type="dxa"/>
              <w:right w:w="80" w:type="dxa"/>
            </w:tcMar>
            <w:vAlign w:val="center"/>
          </w:tcPr>
          <w:p>
            <w:pPr>
              <w:spacing w:after="0" w:line="240" w:lineRule="auto"/>
            </w:pPr>
            <w:r>
              <w:rPr>
                <w:rFonts w:ascii="Times New Roman" w:hAnsi="Times New Roman" w:cs="Times New Roman"/>
                <w:b/>
                <w:bCs/>
                <w:sz w:val="20"/>
                <w:szCs w:val="20"/>
              </w:rPr>
              <w:t xml:space="preserve">OBS-05</w:t>
            </w:r>
          </w:p>
        </w:tc>
        <w:tc>
          <w:tcPr>
            <w:tcW w:w="903" w:type="dxa"/>
            <w:shd w:val="clear" w:color="auto" w:fill="F2F2F2"/>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w:t>
            </w:r>
          </w:p>
        </w:tc>
        <w:tc>
          <w:tcPr>
            <w:tcW w:w="4919" w:type="dxa"/>
            <w:shd w:val="clear" w:color="auto" w:fill="F2F2F2"/>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Textos inexactos: a la ayuda de Usuarios le faltaban Caja y Pagos, y el mensaje de registro de clientes mencionaba una "categoría inicial"</w:t>
            </w:r>
          </w:p>
        </w:tc>
        <w:tc>
          <w:tcPr>
            <w:tcW w:w="1305" w:type="dxa"/>
            <w:shd w:val="clear" w:color="auto" w:fill="F2F2F2"/>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Baja</w:t>
            </w:r>
          </w:p>
        </w:tc>
        <w:tc>
          <w:tcPr>
            <w:tcW w:w="1809" w:type="dxa"/>
            <w:shd w:val="clear" w:color="auto" w:fill="F2F2F2"/>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Corregido y verificado (corrida 4)</w:t>
            </w:r>
          </w:p>
        </w:tc>
      </w:tr>
      <w:tr>
        <w:trPr>
          <w:cantSplit/>
        </w:trPr>
        <w:tc>
          <w:tcPr>
            <w:tcW w:w="1104" w:type="dxa"/>
            <w:tcMar>
              <w:top w:w="60" w:type="dxa"/>
              <w:left w:w="80" w:type="dxa"/>
              <w:bottom w:w="60" w:type="dxa"/>
              <w:right w:w="80" w:type="dxa"/>
            </w:tcMar>
            <w:vAlign w:val="center"/>
          </w:tcPr>
          <w:p>
            <w:pPr>
              <w:spacing w:after="0" w:line="240" w:lineRule="auto"/>
            </w:pPr>
            <w:r>
              <w:rPr>
                <w:rFonts w:ascii="Times New Roman" w:hAnsi="Times New Roman" w:cs="Times New Roman"/>
                <w:b/>
                <w:bCs/>
                <w:sz w:val="20"/>
                <w:szCs w:val="20"/>
              </w:rPr>
              <w:t xml:space="preserve">CAM-01</w:t>
            </w:r>
          </w:p>
        </w:tc>
        <w:tc>
          <w:tcPr>
            <w:tcW w:w="903" w:type="dxa"/>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CP-02, CP-09, CP-11</w:t>
            </w:r>
          </w:p>
        </w:tc>
        <w:tc>
          <w:tcPr>
            <w:tcW w:w="4919" w:type="dxa"/>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Cambio de alcance, no defecto: el equipo decidió quitar la pasarela de pago simulada, porque el sistema solo registra la forma de pago. El cajero confirma el pago con Yape o Plin en el celular del negocio; la sección Pagos pasó a ser Negocio (solo los datos del comprobante)</w:t>
            </w:r>
          </w:p>
        </w:tc>
        <w:tc>
          <w:tcPr>
            <w:tcW w:w="1305" w:type="dxa"/>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w:t>
            </w:r>
          </w:p>
        </w:tc>
        <w:tc>
          <w:tcPr>
            <w:tcW w:w="1809" w:type="dxa"/>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Aplicado y verificado (corrida 5)</w:t>
            </w:r>
          </w:p>
        </w:tc>
      </w:tr>
    </w:tbl>
    <w:p>
      <w:pPr>
        <w:spacing w:after="120"/>
      </w:pPr>
    </w:p>
    <w:p>
      <w:pPr>
        <w:spacing w:after="120"/>
        <w:jc w:val="both"/>
      </w:pPr>
      <w:r>
        <w:rPr>
          <w:rFonts w:ascii="Times New Roman" w:hAnsi="Times New Roman" w:cs="Times New Roman"/>
        </w:rPr>
        <w:t xml:space="preserve">OBS-02 a OBS-05 se encontraron al revisar el código para escribir los manuales de usuario, no con los casos automatizados. CAM-01 no es un defecto, sino un cambio de alcance decidido por el equipo: el sistema solo registra la forma de pago. Limitaciones conocidas que se dejan documentadas:</w:t>
      </w:r>
    </w:p>
    <w:p>
      <w:pPr>
        <w:pStyle w:val="Prrafodelista"/>
        <w:numPr>
          <w:ilvl w:val="0"/>
          <w:numId w:val="1"/>
        </w:numPr>
        <w:spacing w:after="60"/>
        <w:jc w:val="both"/>
      </w:pPr>
      <w:r>
        <w:rPr>
          <w:rFonts w:ascii="Times New Roman" w:hAnsi="Times New Roman" w:cs="Times New Roman"/>
        </w:rPr>
        <w:t xml:space="preserve">El personal puede crear productos y proveedores, aunque solo el administrador puede editarlos.</w:t>
      </w:r>
    </w:p>
    <w:p>
      <w:pPr>
        <w:pStyle w:val="Prrafodelista"/>
        <w:numPr>
          <w:ilvl w:val="0"/>
          <w:numId w:val="1"/>
        </w:numPr>
        <w:spacing w:after="60"/>
        <w:jc w:val="both"/>
      </w:pPr>
      <w:r>
        <w:rPr>
          <w:rFonts w:ascii="Times New Roman" w:hAnsi="Times New Roman" w:cs="Times New Roman"/>
        </w:rPr>
        <w:t xml:space="preserve">El personal puede exportar el reporte de mermas en PDF o Excel.</w:t>
      </w:r>
    </w:p>
    <w:p>
      <w:pPr>
        <w:pStyle w:val="Prrafodelista"/>
        <w:numPr>
          <w:ilvl w:val="0"/>
          <w:numId w:val="1"/>
        </w:numPr>
        <w:spacing w:after="60"/>
        <w:jc w:val="both"/>
      </w:pPr>
      <w:r>
        <w:rPr>
          <w:rFonts w:ascii="Times New Roman" w:hAnsi="Times New Roman" w:cs="Times New Roman"/>
        </w:rPr>
        <w:t xml:space="preserve">No existe recuperación de contraseña; solo un administrador restablece claves. Se recomienda mantener al menos dos administradores activos.</w:t>
      </w:r>
    </w:p>
    <w:p>
      <w:pPr>
        <w:pStyle w:val="Ttulo2"/>
      </w:pPr>
      <w:r>
        <w:rPr>
          <w:rFonts w:ascii="Times New Roman" w:hAnsi="Times New Roman" w:cs="Times New Roman"/>
          <w:b/>
          <w:bCs/>
        </w:rPr>
        <w:t xml:space="preserve">8. Conclusiones y recomendaciones</w:t>
      </w:r>
    </w:p>
    <w:p>
      <w:pPr>
        <w:pStyle w:val="Prrafodelista"/>
        <w:numPr>
          <w:ilvl w:val="0"/>
          <w:numId w:val="1"/>
        </w:numPr>
        <w:spacing w:after="60"/>
        <w:jc w:val="both"/>
      </w:pPr>
      <w:r>
        <w:rPr>
          <w:rFonts w:ascii="Times New Roman" w:hAnsi="Times New Roman" w:cs="Times New Roman"/>
        </w:rPr>
        <w:t xml:space="preserve">Los procesos centrales cumplen las reglas de negocio del documento: los 15 casos aprueban en las corridas 3, 4 y 5.</w:t>
      </w:r>
    </w:p>
    <w:p>
      <w:pPr>
        <w:pStyle w:val="Prrafodelista"/>
        <w:numPr>
          <w:ilvl w:val="0"/>
          <w:numId w:val="1"/>
        </w:numPr>
        <w:spacing w:after="60"/>
        <w:jc w:val="both"/>
      </w:pPr>
      <w:r>
        <w:rPr>
          <w:rFonts w:ascii="Times New Roman" w:hAnsi="Times New Roman" w:cs="Times New Roman"/>
        </w:rPr>
        <w:t xml:space="preserve">Todas las operaciones rechazadas (sin turno, stock insuficiente, forma de pago no admitida, turno cerrado y tarjeta) se revierten sin dejar registros parciales.</w:t>
      </w:r>
    </w:p>
    <w:p>
      <w:pPr>
        <w:pStyle w:val="Prrafodelista"/>
        <w:numPr>
          <w:ilvl w:val="0"/>
          <w:numId w:val="1"/>
        </w:numPr>
        <w:spacing w:after="60"/>
        <w:jc w:val="both"/>
      </w:pPr>
      <w:r>
        <w:rPr>
          <w:rFonts w:ascii="Times New Roman" w:hAnsi="Times New Roman" w:cs="Times New Roman"/>
        </w:rPr>
        <w:t xml:space="preserve">Las pruebas encontraron un defecto de seguridad (DEF-01), que se corrigió validando el rol en los controladores, y un requerimiento ambiguo (OBS-01), que se aclaró en el documento sin cambiar el código.</w:t>
      </w:r>
    </w:p>
    <w:p>
      <w:pPr>
        <w:pStyle w:val="Prrafodelista"/>
        <w:numPr>
          <w:ilvl w:val="0"/>
          <w:numId w:val="1"/>
        </w:numPr>
        <w:spacing w:after="60"/>
        <w:jc w:val="both"/>
      </w:pPr>
      <w:r>
        <w:rPr>
          <w:rFonts w:ascii="Times New Roman" w:hAnsi="Times New Roman" w:cs="Times New Roman"/>
        </w:rPr>
        <w:t xml:space="preserve">La revisión para los manuales encontró cuatro observaciones menores (OBS-02 a OBS-05), que se corrigieron; la corrida 4 confirmó que los 15 casos siguen aprobando.</w:t>
      </w:r>
    </w:p>
    <w:p>
      <w:pPr>
        <w:pStyle w:val="Prrafodelista"/>
        <w:numPr>
          <w:ilvl w:val="0"/>
          <w:numId w:val="1"/>
        </w:numPr>
        <w:spacing w:after="60"/>
        <w:jc w:val="both"/>
      </w:pPr>
      <w:r>
        <w:rPr>
          <w:rFonts w:ascii="Times New Roman" w:hAnsi="Times New Roman" w:cs="Times New Roman"/>
        </w:rPr>
        <w:t xml:space="preserve">El equipo quitó la pasarela de pago simulada (CAM-01), porque el sistema solo registra la forma de pago; la corrida 5 confirmó que los 15 casos siguen aprobando.</w:t>
      </w:r>
    </w:p>
    <w:p>
      <w:pPr>
        <w:pStyle w:val="Prrafodelista"/>
        <w:numPr>
          <w:ilvl w:val="0"/>
          <w:numId w:val="1"/>
        </w:numPr>
        <w:spacing w:after="60"/>
        <w:jc w:val="both"/>
      </w:pPr>
      <w:r>
        <w:rPr>
          <w:rFonts w:ascii="Times New Roman" w:hAnsi="Times New Roman" w:cs="Times New Roman"/>
        </w:rPr>
        <w:t xml:space="preserve">Se recomienda validar el rol en todo controlador nuevo de uso administrativo, guardar las contraseñas con hash y ejecutar las pruebas antes de cada entrega.</w:t>
      </w:r>
    </w:p>
    <w:sectPr>
      <w:footerReference w:type="default" r:id="rId3"/>
      <w:pgSz w:w="12240" w:h="15840"/>
      <w:pgMar w:top="1000" w:right="1100" w:bottom="1000" w:left="1100" w:header="708" w:footer="708" w:gutter="0"/>
    </w:sectPr>
  </w:body>
</w:document>
</file>

<file path=word/footer1.xml><?xml version="1.0" encoding="utf-8"?>
<w:ftr xmlns:w="http://schemas.openxmlformats.org/wordprocessingml/2006/main">
  <w:p>
    <w:pPr>
      <w:pStyle w:val="Piedepgina"/>
      <w:jc w:val="right"/>
    </w:pPr>
    <w:r>
      <w:rPr>
        <w:sz w:val="18"/>
      </w:rPr>
      <w:fldChar w:fldCharType="begin"/>
    </w:r>
    <w:r>
      <w:rPr>
        <w:sz w:val="18"/>
      </w:rPr>
      <w:instrText xml:space="preserve"> PAGE </w:instrText>
    </w:r>
    <w:r>
      <w:rPr>
        <w:sz w:val="18"/>
      </w:rPr>
      <w:fldChar w:fldCharType="separate"/>
    </w:r>
    <w:r>
      <w:rPr>
        <w:sz w:val="18"/>
      </w:rPr>
      <w:t>1</w:t>
    </w:r>
    <w:r>
      <w:rPr>
        <w:sz w:val="18"/>
      </w:rPr>
      <w:fldChar w:fldCharType="end"/>
    </w:r>
  </w:p>
</w:ftr>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Times New Roman" w:hAnsi="Times New Roman" w:hint="default"/>
      </w:rPr>
    </w:lvl>
  </w:abstractNum>
  <w:num w:numId="1">
    <w:abstractNumId w:val="0"/>
  </w:num>
</w:numbering>
</file>

<file path=word/settings.xml><?xml version="1.0" encoding="utf-8"?>
<w:settings xmlns:w="http://schemas.openxmlformats.org/wordprocessingml/2006/main">
  <w:defaultTabStop w:val="708"/>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eastAsia="Times New Roman"/>
        <w:sz w:val="22"/>
        <w:szCs w:val="22"/>
        <w:lang w:val="es-PE"/>
      </w:rPr>
    </w:rPrDefault>
    <w:pPrDefault>
      <w:pPr>
        <w:spacing w:after="120" w:line="264" w:lineRule="auto"/>
      </w:pPr>
    </w:pPrDefault>
  </w:docDefaults>
  <w:style w:type="paragraph" w:default="1" w:styleId="Normal">
    <w:name w:val="Normal"/>
    <w:qFormat/>
  </w:style>
  <w:style w:type="paragraph" w:styleId="Ttulo1">
    <w:name w:val="heading 1"/>
    <w:basedOn w:val="Normal"/>
    <w:next w:val="Normal"/>
    <w:qFormat/>
    <w:pPr>
      <w:keepNext/>
      <w:spacing w:before="120" w:after="120"/>
      <w:outlineLvl w:val="0"/>
    </w:pPr>
    <w:rPr>
      <w:b/>
      <w:bCs/>
      <w:sz w:val="36"/>
      <w:szCs w:val="36"/>
    </w:rPr>
  </w:style>
  <w:style w:type="paragraph" w:styleId="Ttulo2">
    <w:name w:val="heading 2"/>
    <w:basedOn w:val="Normal"/>
    <w:next w:val="Normal"/>
    <w:qFormat/>
    <w:pPr>
      <w:keepNext/>
      <w:spacing w:before="280" w:after="100"/>
      <w:pBdr>
        <w:bottom w:val="single" w:sz="4" w:space="2" w:color="A6A6A6"/>
      </w:pBdr>
      <w:outlineLvl w:val="1"/>
    </w:pPr>
    <w:rPr>
      <w:b/>
      <w:bCs/>
      <w:sz w:val="28"/>
      <w:szCs w:val="28"/>
    </w:rPr>
  </w:style>
  <w:style w:type="paragraph" w:styleId="Prrafodelista">
    <w:name w:val="List Paragraph"/>
    <w:basedOn w:val="Normal"/>
    <w:qFormat/>
    <w:pPr>
      <w:ind w:left="720"/>
    </w:pPr>
  </w:style>
  <w:style w:type="paragraph" w:styleId="Piedepgina">
    <w:name w:val="footer"/>
    <w:basedOn w:val="Normal"/>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er" Target="footer1.xml"/><Relationship Id="rId4" Type="http://schemas.openxmlformats.org/officeDocument/2006/relationships/settings" Target="settings.xml"/></Relationships>
</file>

<file path=docProps/core.xml><?xml version="1.0" encoding="utf-8"?>
<cp:coreProperties xmlns:cp="http://schemas.openxmlformats.org/package/2006/metadata/core-properties" xmlns:dc="http://purl.org/dc/elements/1.1/" xmlns:dcterms="http://purl.org/dc/terms/" xmlns:xsi="http://www.w3.org/2001/XMLSchema-instance">
  <dc:title>Capítulo de Pruebas del Sistema - Seipo</dc:title>
  <dc:language>es-PE</dc:language>
</cp:coreProperties>
</file>