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MASTER SERVICES AGREEMENT</w:t>
      </w:r>
    </w:p>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880"/>
        <w:gridCol w:w="5760"/>
      </w:tblGrid>
      <w:tr>
        <w:tc>
          <w:tcPr>
            <w:tcW w:type="dxa" w:w="2880"/>
          </w:tcPr>
          <w:p>
            <w:r>
              <w:rPr>
                <w:b/>
                <w:bCs/>
              </w:rPr>
              <w:t xml:space="preserve">Contract Number:</w:t>
            </w:r>
          </w:p>
        </w:tc>
        <w:tc>
          <w:tcPr>
            <w:tcW w:type="dxa" w:w="5760"/>
          </w:tcPr>
          <w:p>
            <w:r>
              <w:t xml:space="preserve">RSC-2023-1647</w:t>
            </w:r>
          </w:p>
        </w:tc>
      </w:tr>
      <w:tr>
        <w:tc>
          <w:tcPr>
            <w:tcW w:type="dxa" w:w="2880"/>
          </w:tcPr>
          <w:p>
            <w:r>
              <w:rPr>
                <w:b/>
                <w:bCs/>
              </w:rPr>
              <w:t xml:space="preserve">Effective Date:</w:t>
            </w:r>
          </w:p>
        </w:tc>
        <w:tc>
          <w:tcPr>
            <w:tcW w:type="dxa" w:w="5760"/>
          </w:tcPr>
          <w:p>
            <w:r>
              <w:t xml:space="preserve">December 1, 2023</w:t>
            </w:r>
          </w:p>
        </w:tc>
      </w:tr>
      <w:tr>
        <w:tc>
          <w:tcPr>
            <w:tcW w:type="dxa" w:w="2880"/>
          </w:tcPr>
          <w:p>
            <w:r>
              <w:rPr>
                <w:b/>
                <w:bCs/>
              </w:rPr>
              <w:t xml:space="preserve">Customer:</w:t>
            </w:r>
          </w:p>
        </w:tc>
        <w:tc>
          <w:tcPr>
            <w:tcW w:type="dxa" w:w="5760"/>
          </w:tcPr>
          <w:p>
            <w:r>
              <w:t xml:space="preserve">Legacy Systems International Corp.</w:t>
            </w:r>
          </w:p>
        </w:tc>
      </w:tr>
      <w:tr>
        <w:tc>
          <w:tcPr>
            <w:tcW w:type="dxa" w:w="2880"/>
          </w:tcPr>
          <w:p>
            <w:r>
              <w:rPr>
                <w:b/>
                <w:bCs/>
              </w:rPr>
              <w:t xml:space="preserve">Address:</w:t>
            </w:r>
          </w:p>
        </w:tc>
        <w:tc>
          <w:tcPr>
            <w:tcW w:type="dxa" w:w="5760"/>
          </w:tcPr>
          <w:p>
            <w:r>
              <w:t xml:space="preserve">7800 Enterprise Drive, Boston, MA 02101</w:t>
            </w:r>
          </w:p>
        </w:tc>
      </w:tr>
    </w:tbl>
    <w:p/>
    <w:p>
      <w:pPr>
        <w:spacing w:after="240"/>
      </w:pPr>
      <w:r>
        <w:t xml:space="preserve">This Master Services Agreement ("Agreement") is entered into as of December 1, 2023 ("Effective Date") by and between RevenueSync Corporation, a Delaware corporation with offices at 123 Market Street, San Francisco, CA 94103 ("RevenueSync" or "Provider"), and Legacy Systems International Corp., a company organized under the laws of Massachusetts ("Customer" or "Client").</w:t>
      </w:r>
    </w:p>
    <w:p>
      <w:pPr>
        <w:pStyle w:val="Heading1"/>
      </w:pPr>
      <w:r>
        <w:t xml:space="preserve">1. SERVICES AND DELIVERABLES</w:t>
      </w:r>
    </w:p>
    <w:p>
      <w:pPr>
        <w:spacing w:after="200"/>
      </w:pPr>
      <w:r>
        <w:t xml:space="preserve">Provider agrees to provide Customer with access to the RevenueSync platform ("RevenueSync Enterprise"), a cloud-based revenue intelligence and analytics solution. The Services include: (i) platform access for authorized users, (ii) data processing and analytics, (iii) standard technical support during business hours, and (iv) platform updates and maintenance.</w:t>
      </w:r>
    </w:p>
    <w:p>
      <w:pPr>
        <w:pStyle w:val="Heading1"/>
      </w:pPr>
      <w:r>
        <w:t xml:space="preserve">2. TERM AND RENEWAL</w:t>
      </w:r>
    </w:p>
    <w:p>
      <w:pPr>
        <w:spacing w:after="200"/>
      </w:pPr>
      <w:r>
        <w:t xml:space="preserve">This Agreement shall commence on the Effective Date and continue for an initial term of two (2) years ("Initial Term"). This Agreement will expire at the end of the Initial Term unless the parties mutually agree in writing to renew for an additional term. Either party may elect not to renew by providing notice at least 120 days prior to expiration.</w:t>
      </w:r>
    </w:p>
    <w:p>
      <w:pPr>
        <w:pStyle w:val="Heading1"/>
      </w:pPr>
      <w:r>
        <w:t xml:space="preserve">3. FEES AND PAYMENT TERMS</w:t>
      </w:r>
    </w:p>
    <w:p>
      <w:pPr>
        <w:spacing w:after="120"/>
      </w:pPr>
      <w:r>
        <w:t xml:space="preserve">Customer agrees to pay Provider the fees set forth in Schedule A attached hereto. The total annual recurring revenue (ARR) for the Services is </w:t>
      </w:r>
      <w:r>
        <w:rPr>
          <w:b/>
          <w:bCs/>
        </w:rPr>
        <w:t xml:space="preserve">$324,000</w:t>
      </w:r>
      <w:r>
        <w:t xml:space="preserve"> based on 135 authorized users at </w:t>
      </w:r>
      <w:r>
        <w:rPr>
          <w:b/>
          <w:bCs/>
        </w:rPr>
        <w:t xml:space="preserve">$200/user/month</w:t>
      </w:r>
      <w:r>
        <w:t xml:space="preserve">. Invoiced semi-annually. Payment terms are Net 60.</w:t>
      </w:r>
    </w:p>
    <w:p>
      <w:pPr>
        <w:spacing w:after="80"/>
      </w:pPr>
    </w:p>
    <w:p>
      <w:pPr>
        <w:pStyle w:val="Heading1"/>
      </w:pPr>
      <w:r>
        <w:t xml:space="preserve">4. SERVICE LEVEL AGREEMENT</w:t>
      </w:r>
    </w:p>
    <w:p>
      <w:pPr>
        <w:spacing w:after="200"/>
      </w:pPr>
      <w:r>
        <w:t xml:space="preserve">Provider commits to maintaining platform uptime of 99.5% during each calendar month, measured monthly ("Uptime SLA"). Provider shall provide service credits of 5% of monthly fees per incident.</w:t>
      </w:r>
    </w:p>
    <w:p>
      <w:pPr>
        <w:pStyle w:val="Heading1"/>
      </w:pPr>
      <w:r>
        <w:t xml:space="preserve">5. DATA PROTECTION AND SECURITY</w:t>
      </w:r>
    </w:p>
    <w:p>
      <w:pPr>
        <w:spacing w:after="200"/>
      </w:pPr>
      <w:r>
        <w:t xml:space="preserve">Provider shall implement and maintain appropriate technical and organizational measures to protect Customer Data against unauthorized access, use, or disclosure. Provider maintains SOC 2 Type II certification and complies with applicable data protection laws including GDPR and CCPA where applicable.</w:t>
      </w:r>
    </w:p>
    <w:p>
      <w:pPr>
        <w:pStyle w:val="Heading1"/>
      </w:pPr>
      <w:r>
        <w:t xml:space="preserve">6. TERMINATION</w:t>
      </w:r>
    </w:p>
    <w:p>
      <w:pPr>
        <w:spacing w:after="200"/>
      </w:pPr>
      <w:r>
        <w:t xml:space="preserve">Either party may terminate this Agreement for material breach if the breaching party fails to cure such breach within thirty (30) days of receiving written notice. Customer remains obligated to pay all fees through the end of the then-current term regardless of early termination.</w:t>
      </w:r>
    </w:p>
    <w:p>
      <w:pPr>
        <w:pStyle w:val="Heading1"/>
      </w:pPr>
      <w:r>
        <w:t xml:space="preserve">7. WARRANTIES AND DISCLAIMERS</w:t>
      </w:r>
    </w:p>
    <w:p>
      <w:pPr>
        <w:spacing w:after="200"/>
      </w:pPr>
      <w:r>
        <w:t xml:space="preserve">Provider warrants that the Services will perform materially in accordance with the documentation. EXCEPT AS EXPRESSLY SET FORTH HEREIN, PROVIDER MAKES NO WARRANTIES, EXPRESS OR IMPLIED, INCLUDING ANY IMPLIED WARRANTIES OF MERCHANTABILITY OR FITNESS FOR A PARTICULAR PURPOSE.</w:t>
      </w:r>
    </w:p>
    <w:p>
      <w:pPr>
        <w:pStyle w:val="Heading1"/>
      </w:pPr>
      <w:r>
        <w:t xml:space="preserve">8. LIMITATION OF LIABILITY</w:t>
      </w:r>
    </w:p>
    <w:p>
      <w:pPr>
        <w:spacing w:after="200"/>
      </w:pPr>
      <w:r>
        <w:t xml:space="preserve">IN NO EVENT SHALL EITHER PARTY'S LIABILITY ARISING OUT OF OR RELATED TO THIS AGREEMENT EXCEED THE TOTAL AMOUNT PAID BY CUSTOMER DURING THE TWELVE (12) MONTHS PRECEDING THE EVENT GIVING RISE TO LIABILITY.</w:t>
      </w:r>
    </w:p>
    <w:p>
      <w:pPr>
        <w:pStyle w:val="Heading1"/>
      </w:pPr>
      <w:r>
        <w:t xml:space="preserve">9. GENERAL PROVISIONS</w:t>
      </w:r>
    </w:p>
    <w:p>
      <w:pPr>
        <w:spacing w:after="400"/>
      </w:pPr>
      <w:r>
        <w:t xml:space="preserve">This Agreement shall be governed by the laws of the Commonwealth of Massachusetts without regard to conflict of law principles. Any disputes shall be resolved through binding arbitration in Boston, Massachusetts. This Agreement constitutes the entire agreement between the parties and supersedes all prior agreements relating to the subject matter hereof.</w:t>
      </w:r>
    </w:p>
    <w:p>
      <w:pPr>
        <w:spacing w:after="300"/>
      </w:pPr>
      <w:r>
        <w:t xml:space="preserve">IN WITNESS WHEREOF, the parties have executed this Agreement as of the Effective Date.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600"/>
        <w:gridCol w:w="720"/>
        <w:gridCol w:w="3600"/>
      </w:tblGrid>
      <w:tr>
        <w:tc>
          <w:tcPr>
            <w:tcW w:type="dxa" w:w="3600"/>
          </w:tcPr>
          <w:p>
            <w:r>
              <w:rPr>
                <w:b/>
                <w:bCs/>
              </w:rPr>
              <w:t xml:space="preserve">REVENUESYNC CORPORATION</w:t>
            </w:r>
          </w:p>
        </w:tc>
        <w:tc>
          <w:tcPr>
            <w:tcW w:type="dxa" w:w="720"/>
          </w:tcPr>
          <w:p/>
        </w:tc>
        <w:tc>
          <w:tcPr>
            <w:tcW w:type="dxa" w:w="3600"/>
          </w:tcPr>
          <w:p>
            <w:r>
              <w:rPr>
                <w:b/>
                <w:bCs/>
              </w:rPr>
              <w:t xml:space="preserve">LEGACY SYSTEMS INTERNATIONAL CORP.</w:t>
            </w:r>
          </w:p>
        </w:tc>
      </w:tr>
      <w:tr>
        <w:tc>
          <w:tcPr>
            <w:tcW w:type="dxa" w:w="3600"/>
          </w:tcPr>
          <w:p/>
        </w:tc>
        <w:tc>
          <w:tcPr>
            <w:tcW w:type="dxa" w:w="720"/>
          </w:tcPr>
          <w:p/>
        </w:tc>
        <w:tc>
          <w:tcPr>
            <w:tcW w:type="dxa" w:w="3600"/>
          </w:tcPr>
          <w:p/>
        </w:tc>
      </w:tr>
      <w:tr>
        <w:tc>
          <w:tcPr>
            <w:tcW w:type="dxa" w:w="3600"/>
          </w:tcPr>
          <w:p>
            <w:r>
              <w:t xml:space="preserve">By: _________________________</w:t>
            </w:r>
          </w:p>
        </w:tc>
        <w:tc>
          <w:tcPr>
            <w:tcW w:type="dxa" w:w="720"/>
          </w:tcPr>
          <w:p/>
        </w:tc>
        <w:tc>
          <w:tcPr>
            <w:tcW w:type="dxa" w:w="3600"/>
          </w:tcPr>
          <w:p>
            <w:r>
              <w:t xml:space="preserve">By: _________________________</w:t>
            </w:r>
          </w:p>
        </w:tc>
      </w:tr>
      <w:tr>
        <w:tc>
          <w:tcPr>
            <w:tcW w:type="dxa" w:w="3600"/>
          </w:tcPr>
          <w:p>
            <w:r>
              <w:t xml:space="preserve">Name: Sarah Mitchell</w:t>
            </w:r>
          </w:p>
        </w:tc>
        <w:tc>
          <w:tcPr>
            <w:tcW w:type="dxa" w:w="720"/>
          </w:tcPr>
          <w:p/>
        </w:tc>
        <w:tc>
          <w:tcPr>
            <w:tcW w:type="dxa" w:w="3600"/>
          </w:tcPr>
          <w:p>
            <w:r>
              <w:t xml:space="preserve">Name: Thomas Anderson</w:t>
            </w:r>
          </w:p>
        </w:tc>
      </w:tr>
      <w:tr>
        <w:tc>
          <w:tcPr>
            <w:tcW w:type="dxa" w:w="3600"/>
          </w:tcPr>
          <w:p>
            <w:r>
              <w:t xml:space="preserve">Title: VP, Sales</w:t>
            </w:r>
          </w:p>
        </w:tc>
        <w:tc>
          <w:tcPr>
            <w:tcW w:type="dxa" w:w="720"/>
          </w:tcPr>
          <w:p/>
        </w:tc>
        <w:tc>
          <w:tcPr>
            <w:tcW w:type="dxa" w:w="3600"/>
          </w:tcPr>
          <w:p>
            <w:r>
              <w:t xml:space="preserve">Title: CTO</w:t>
            </w:r>
          </w:p>
        </w:tc>
      </w:tr>
      <w:tr>
        <w:tc>
          <w:tcPr>
            <w:tcW w:type="dxa" w:w="3600"/>
          </w:tcPr>
          <w:p>
            <w:r>
              <w:t xml:space="preserve">Date: December 1, 2023</w:t>
            </w:r>
          </w:p>
        </w:tc>
        <w:tc>
          <w:tcPr>
            <w:tcW w:type="dxa" w:w="720"/>
          </w:tcPr>
          <w:p/>
        </w:tc>
        <w:tc>
          <w:tcPr>
            <w:tcW w:type="dxa" w:w="3600"/>
          </w:tcPr>
          <w:p>
            <w:r>
              <w:t xml:space="preserve">Date: December 1, 2023</w:t>
            </w:r>
          </w:p>
        </w:tc>
      </w:tr>
    </w:tbl>
    <w:p>
      <w:r>
        <w:br w:type="page"/>
      </w:r>
    </w:p>
    <w:p>
      <w:pPr>
        <w:pStyle w:val="Title"/>
      </w:pPr>
      <w:r>
        <w:t xml:space="preserve">SCHEDULE A: PRICING AND FEES</w:t>
      </w:r>
    </w:p>
    <w:p>
      <w:pPr>
        <w:spacing w:after="30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160"/>
        <w:gridCol w:w="2880"/>
        <w:gridCol w:w="1440"/>
        <w:gridCol w:w="1440"/>
        <w:gridCol w:w="2160"/>
      </w:tblGrid>
      <w:tr>
        <w:tc>
          <w:tcPr>
            <w:tcW w:type="dxa" w:w="2160"/>
            <w:shd w:fill="2c3e50" w:val="clear"/>
          </w:tcPr>
          <w:p>
            <w:pPr>
              <w:jc w:val="center"/>
            </w:pPr>
            <w:r>
              <w:rPr>
                <w:b/>
                <w:bCs/>
                <w:color w:val="FFFFFF"/>
              </w:rPr>
              <w:t xml:space="preserve">Item</w:t>
            </w:r>
          </w:p>
        </w:tc>
        <w:tc>
          <w:tcPr>
            <w:tcW w:type="dxa" w:w="2880"/>
            <w:shd w:fill="2c3e50" w:val="clear"/>
          </w:tcPr>
          <w:p>
            <w:pPr>
              <w:jc w:val="center"/>
            </w:pPr>
            <w:r>
              <w:rPr>
                <w:b/>
                <w:bCs/>
                <w:color w:val="FFFFFF"/>
              </w:rPr>
              <w:t xml:space="preserve">Description</w:t>
            </w:r>
          </w:p>
        </w:tc>
        <w:tc>
          <w:tcPr>
            <w:tcW w:type="dxa" w:w="1440"/>
            <w:shd w:fill="2c3e50" w:val="clear"/>
          </w:tcPr>
          <w:p>
            <w:pPr>
              <w:jc w:val="center"/>
            </w:pPr>
            <w:r>
              <w:rPr>
                <w:b/>
                <w:bCs/>
                <w:color w:val="FFFFFF"/>
              </w:rPr>
              <w:t xml:space="preserve">Quantity</w:t>
            </w:r>
          </w:p>
        </w:tc>
        <w:tc>
          <w:tcPr>
            <w:tcW w:type="dxa" w:w="1440"/>
            <w:shd w:fill="2c3e50" w:val="clear"/>
          </w:tcPr>
          <w:p>
            <w:pPr>
              <w:jc w:val="center"/>
            </w:pPr>
            <w:r>
              <w:rPr>
                <w:b/>
                <w:bCs/>
                <w:color w:val="FFFFFF"/>
              </w:rPr>
              <w:t xml:space="preserve">Rate</w:t>
            </w:r>
          </w:p>
        </w:tc>
        <w:tc>
          <w:tcPr>
            <w:tcW w:type="dxa" w:w="2160"/>
            <w:shd w:fill="2c3e50" w:val="clear"/>
          </w:tcPr>
          <w:p>
            <w:pPr>
              <w:jc w:val="center"/>
            </w:pPr>
            <w:r>
              <w:rPr>
                <w:b/>
                <w:bCs/>
                <w:color w:val="FFFFFF"/>
              </w:rPr>
              <w:t xml:space="preserve">Amount</w:t>
            </w:r>
          </w:p>
        </w:tc>
      </w:tr>
      <w:tr>
        <w:tc>
          <w:tcPr>
            <w:tcW w:type="dxa" w:w="2160"/>
          </w:tcPr>
          <w:p>
            <w:r>
              <w:t xml:space="preserve">Platform Access</w:t>
            </w:r>
          </w:p>
        </w:tc>
        <w:tc>
          <w:tcPr>
            <w:tcW w:type="dxa" w:w="2880"/>
          </w:tcPr>
          <w:p>
            <w:r>
              <w:t xml:space="preserve">RevenueSync Enterprise</w:t>
            </w:r>
          </w:p>
        </w:tc>
        <w:tc>
          <w:tcPr>
            <w:tcW w:type="dxa" w:w="1440"/>
          </w:tcPr>
          <w:p>
            <w:pPr>
              <w:jc w:val="right"/>
            </w:pPr>
            <w:r>
              <w:t xml:space="preserve">135 users</w:t>
            </w:r>
          </w:p>
        </w:tc>
        <w:tc>
          <w:tcPr>
            <w:tcW w:type="dxa" w:w="1440"/>
          </w:tcPr>
          <w:p>
            <w:pPr>
              <w:jc w:val="right"/>
            </w:pPr>
            <w:r>
              <w:t xml:space="preserve">$200/user/mo</w:t>
            </w:r>
          </w:p>
        </w:tc>
        <w:tc>
          <w:tcPr>
            <w:tcW w:type="dxa" w:w="2160"/>
          </w:tcPr>
          <w:p>
            <w:pPr>
              <w:jc w:val="right"/>
            </w:pPr>
            <w:r>
              <w:t xml:space="preserve">$324,000/year</w:t>
            </w:r>
          </w:p>
        </w:tc>
      </w:tr>
      <w:tr>
        <w:tc>
          <w:tcPr>
            <w:tcW w:type="dxa" w:w="2160"/>
          </w:tcPr>
          <w:p>
            <w:r>
              <w:t xml:space="preserve">Implementation</w:t>
            </w:r>
          </w:p>
        </w:tc>
        <w:tc>
          <w:tcPr>
            <w:tcW w:type="dxa" w:w="2880"/>
          </w:tcPr>
          <w:p>
            <w:r>
              <w:t xml:space="preserve">One-time setup</w:t>
            </w:r>
          </w:p>
        </w:tc>
        <w:tc>
          <w:tcPr>
            <w:tcW w:type="dxa" w:w="1440"/>
          </w:tcPr>
          <w:p>
            <w:pPr>
              <w:jc w:val="right"/>
            </w:pPr>
            <w:r>
              <w:t xml:space="preserve">1</w:t>
            </w:r>
          </w:p>
        </w:tc>
        <w:tc>
          <w:tcPr>
            <w:tcW w:type="dxa" w:w="1440"/>
          </w:tcPr>
          <w:p>
            <w:pPr>
              <w:jc w:val="right"/>
            </w:pPr>
            <w:r>
              <w:t xml:space="preserve">$40,000</w:t>
            </w:r>
          </w:p>
        </w:tc>
        <w:tc>
          <w:tcPr>
            <w:tcW w:type="dxa" w:w="2160"/>
          </w:tcPr>
          <w:p>
            <w:pPr>
              <w:jc w:val="right"/>
            </w:pPr>
            <w:r>
              <w:t xml:space="preserve">$40,000</w:t>
            </w:r>
          </w:p>
        </w:tc>
      </w:tr>
    </w:tbl>
    <w:p>
      <w:pPr>
        <w:spacing w:after="300"/>
      </w:pPr>
    </w:p>
    <w:p>
      <w:r>
        <w:rPr>
          <w:b/>
          <w:bCs/>
        </w:rPr>
        <w:t xml:space="preserve">Billing Frequency: </w:t>
      </w:r>
      <w:r>
        <w:t xml:space="preserve">Invoiced semi-annually</w:t>
      </w:r>
    </w:p>
    <w:p>
      <w:r>
        <w:rPr>
          <w:b/>
          <w:bCs/>
        </w:rPr>
        <w:t xml:space="preserve">Payment Terms: </w:t>
      </w:r>
      <w:r>
        <w:t xml:space="preserve">Net 60</w:t>
      </w:r>
    </w:p>
    <w:p>
      <w:r>
        <w:rPr>
          <w:b/>
          <w:bCs/>
        </w:rPr>
        <w:t xml:space="preserve">Contract Start Date: </w:t>
      </w:r>
      <w:r>
        <w:t xml:space="preserve">December 1, 2023</w:t>
      </w:r>
    </w:p>
    <w:p>
      <w:r>
        <w:rPr>
          <w:b/>
          <w:bCs/>
        </w:rPr>
        <w:t xml:space="preserve">Contract End Date: </w:t>
      </w:r>
      <w:r>
        <w:t xml:space="preserve">November 30, 2025</w:t>
      </w:r>
    </w:p>
    <w:p>
      <w:r>
        <w:rPr>
          <w:b/>
          <w:bCs/>
        </w:rPr>
        <w:t xml:space="preserve">Renewal Type: </w:t>
      </w:r>
      <w:r>
        <w:t xml:space="preserve">Manual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000000"/>
      <w:sz w:val="32"/>
      <w:szCs w:val="32"/>
    </w:rPr>
  </w:style>
  <w:style w:type="paragraph" w:styleId="Heading1">
    <w:name w:val="Heading 1"/>
    <w:basedOn w:val="Normal"/>
    <w:pPr>
      <w:spacing w:before="240" w:after="120"/>
    </w:pPr>
    <w:rPr>
      <w:rFonts w:ascii="Arial" w:cs="Arial" w:eastAsia="Arial" w:hAnsi="Arial"/>
      <w:b/>
      <w:bCs/>
      <w:color w:val="2c3e50"/>
      <w:sz w:val="24"/>
      <w:szCs w:val="24"/>
    </w:rPr>
  </w:style>
  <w:style w:type="paragraph" w:styleId="Heading2">
    <w:name w:val="Heading 2"/>
    <w:basedOn w:val="Normal"/>
    <w:pPr>
      <w:spacing w:before="180" w:after="100"/>
    </w:pPr>
    <w:rPr>
      <w:rFonts w:ascii="Arial" w:cs="Arial" w:eastAsia="Arial" w:hAnsi="Arial"/>
      <w:b/>
      <w:bCs/>
      <w:color w:val="3333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2025-11-18T03:01:59.370Z</dcterms:created>
  <dcterms:modified xsi:type="dcterms:W3CDTF">2025-11-18T03:01:59.370Z</dcterms:modified>
</cp:coreProperties>
</file>

<file path=docProps/custom.xml><?xml version="1.0" encoding="utf-8"?>
<Properties xmlns="http://schemas.openxmlformats.org/officeDocument/2006/custom-properties" xmlns:vt="http://schemas.openxmlformats.org/officeDocument/2006/docPropsVTypes"/>
</file>