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AA" w:rsidRPr="00751CDA" w:rsidRDefault="00504A9A" w:rsidP="00F2195C">
      <w:pPr>
        <w:jc w:val="center"/>
        <w:rPr>
          <w:sz w:val="28"/>
        </w:rPr>
      </w:pPr>
      <w:r w:rsidRPr="00751CDA">
        <w:rPr>
          <w:rFonts w:hint="eastAsia"/>
          <w:sz w:val="28"/>
        </w:rPr>
        <w:t>Delta</w:t>
      </w:r>
      <w:r w:rsidRPr="00751CDA">
        <w:rPr>
          <w:rFonts w:hint="eastAsia"/>
          <w:sz w:val="28"/>
        </w:rPr>
        <w:t>算法与对冲收益</w:t>
      </w:r>
    </w:p>
    <w:p w:rsidR="00B230BC" w:rsidRPr="00751CDA" w:rsidRDefault="00B230BC" w:rsidP="00B230B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Delta</w:t>
      </w:r>
      <w:bookmarkStart w:id="0" w:name="_GoBack"/>
      <w:bookmarkEnd w:id="0"/>
      <w:r w:rsidRPr="00751CDA">
        <w:rPr>
          <w:rFonts w:hint="eastAsia"/>
          <w:b/>
        </w:rPr>
        <w:t>算法实现</w:t>
      </w:r>
    </w:p>
    <w:p w:rsidR="00B230BC" w:rsidRDefault="00B230BC" w:rsidP="00B230BC">
      <w:pPr>
        <w:pStyle w:val="a3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delta_calculate_example</w:t>
      </w:r>
      <w:r>
        <w:t>.py</w:t>
      </w:r>
    </w:p>
    <w:p w:rsidR="00B230BC" w:rsidRDefault="00B230BC" w:rsidP="00B230BC">
      <w:pPr>
        <w:pStyle w:val="a3"/>
        <w:ind w:left="420" w:firstLineChars="0" w:firstLine="0"/>
      </w:pPr>
      <w:r>
        <w:rPr>
          <w:rFonts w:hint="eastAsia"/>
        </w:rPr>
        <w:t>环境：</w:t>
      </w:r>
      <w:r>
        <w:rPr>
          <w:rFonts w:hint="eastAsia"/>
        </w:rPr>
        <w:t>python</w:t>
      </w:r>
      <w:r>
        <w:t>3.6</w:t>
      </w:r>
    </w:p>
    <w:p w:rsidR="00B230BC" w:rsidRPr="00B230BC" w:rsidRDefault="00B230BC" w:rsidP="00B230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Dependencies</w:t>
      </w:r>
      <w:r>
        <w:rPr>
          <w:rFonts w:hint="eastAsia"/>
        </w:rPr>
        <w:t>：</w:t>
      </w:r>
      <w:proofErr w:type="spellStart"/>
      <w:r w:rsidRPr="00825C8A">
        <w:t>scipy.stats</w:t>
      </w:r>
      <w:proofErr w:type="spellEnd"/>
      <w:r>
        <w:rPr>
          <w:rFonts w:hint="eastAsia"/>
        </w:rPr>
        <w:t>；</w:t>
      </w:r>
      <w:proofErr w:type="spellStart"/>
      <w:r w:rsidRPr="00825C8A">
        <w:t>numpy</w:t>
      </w:r>
      <w:proofErr w:type="spellEnd"/>
    </w:p>
    <w:p w:rsidR="00C42005" w:rsidRPr="00751CDA" w:rsidRDefault="00C42005" w:rsidP="00F2195C">
      <w:pPr>
        <w:pStyle w:val="a3"/>
        <w:numPr>
          <w:ilvl w:val="0"/>
          <w:numId w:val="3"/>
        </w:numPr>
        <w:ind w:firstLineChars="0"/>
        <w:rPr>
          <w:b/>
        </w:rPr>
      </w:pPr>
      <w:r w:rsidRPr="00751CDA">
        <w:rPr>
          <w:rFonts w:hint="eastAsia"/>
          <w:b/>
        </w:rPr>
        <w:t>SVI</w:t>
      </w:r>
      <w:r w:rsidRPr="00751CDA">
        <w:rPr>
          <w:rFonts w:hint="eastAsia"/>
          <w:b/>
        </w:rPr>
        <w:t>模型</w:t>
      </w:r>
      <w:bookmarkStart w:id="1" w:name="MTBlankEqn"/>
      <w:r w:rsidRPr="00751CDA">
        <w:rPr>
          <w:b/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7pt;height:16.3pt" o:ole="">
            <v:imagedata r:id="rId5" o:title=""/>
          </v:shape>
          <o:OLEObject Type="Embed" ProgID="Equation.DSMT4" ShapeID="_x0000_i1025" DrawAspect="Content" ObjectID="_1567152088" r:id="rId6"/>
        </w:object>
      </w:r>
      <w:bookmarkEnd w:id="1"/>
      <w:r w:rsidRPr="00751CDA">
        <w:rPr>
          <w:b/>
        </w:rPr>
        <w:t xml:space="preserve"> </w:t>
      </w:r>
    </w:p>
    <w:p w:rsidR="00504A9A" w:rsidRPr="00615224" w:rsidRDefault="00504A9A" w:rsidP="0061522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615224">
        <w:rPr>
          <w:rFonts w:hint="eastAsia"/>
          <w:color w:val="FF0000"/>
        </w:rPr>
        <w:t>全</w:t>
      </w:r>
      <w:r w:rsidRPr="00615224">
        <w:rPr>
          <w:rFonts w:hint="eastAsia"/>
          <w:color w:val="FF0000"/>
        </w:rPr>
        <w:t>Delta</w:t>
      </w:r>
      <w:r w:rsidR="00615224">
        <w:rPr>
          <w:color w:val="FF0000"/>
        </w:rPr>
        <w:t>:</w:t>
      </w:r>
    </w:p>
    <w:p w:rsidR="00504A9A" w:rsidRDefault="001C6147" w:rsidP="00504A9A">
      <w:pPr>
        <w:pStyle w:val="a3"/>
        <w:ind w:left="360" w:firstLineChars="0" w:firstLine="0"/>
      </w:pPr>
      <w:r w:rsidRPr="001C6147">
        <w:rPr>
          <w:position w:val="-28"/>
        </w:rPr>
        <w:object w:dxaOrig="6940" w:dyaOrig="700">
          <v:shape id="_x0000_i1026" type="#_x0000_t75" style="width:346.85pt;height:35.05pt" o:ole="">
            <v:imagedata r:id="rId7" o:title=""/>
          </v:shape>
          <o:OLEObject Type="Embed" ProgID="Equation.DSMT4" ShapeID="_x0000_i1026" DrawAspect="Content" ObjectID="_1567152089" r:id="rId8"/>
        </w:object>
      </w:r>
      <w:r w:rsidR="00504A9A">
        <w:t xml:space="preserve"> </w:t>
      </w:r>
    </w:p>
    <w:p w:rsidR="00504A9A" w:rsidRPr="00615224" w:rsidRDefault="00504A9A" w:rsidP="00615224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615224">
        <w:rPr>
          <w:rFonts w:hint="eastAsia"/>
          <w:color w:val="FF0000"/>
        </w:rPr>
        <w:t>Effective</w:t>
      </w:r>
      <w:r w:rsidRPr="00615224">
        <w:rPr>
          <w:color w:val="FF0000"/>
        </w:rPr>
        <w:t xml:space="preserve"> </w:t>
      </w:r>
      <w:r w:rsidRPr="00615224">
        <w:rPr>
          <w:rFonts w:hint="eastAsia"/>
          <w:color w:val="FF0000"/>
        </w:rPr>
        <w:t>Delta</w:t>
      </w:r>
      <w:r w:rsidR="00615224">
        <w:rPr>
          <w:color w:val="FF0000"/>
        </w:rPr>
        <w:t>:</w:t>
      </w:r>
    </w:p>
    <w:p w:rsidR="00615224" w:rsidRDefault="001C6147" w:rsidP="00751CDA">
      <w:pPr>
        <w:pStyle w:val="a3"/>
        <w:ind w:left="360" w:firstLineChars="0" w:firstLine="0"/>
      </w:pPr>
      <w:r w:rsidRPr="00504A9A">
        <w:rPr>
          <w:position w:val="-24"/>
        </w:rPr>
        <w:object w:dxaOrig="6500" w:dyaOrig="660">
          <v:shape id="_x0000_i1027" type="#_x0000_t75" style="width:324.95pt;height:33.2pt" o:ole="">
            <v:imagedata r:id="rId9" o:title=""/>
          </v:shape>
          <o:OLEObject Type="Embed" ProgID="Equation.DSMT4" ShapeID="_x0000_i1027" DrawAspect="Content" ObjectID="_1567152090" r:id="rId10"/>
        </w:object>
      </w:r>
    </w:p>
    <w:p w:rsidR="00B5231E" w:rsidRPr="00751CDA" w:rsidRDefault="00C42005" w:rsidP="00F2195C">
      <w:pPr>
        <w:pStyle w:val="a3"/>
        <w:numPr>
          <w:ilvl w:val="0"/>
          <w:numId w:val="3"/>
        </w:numPr>
        <w:ind w:firstLineChars="0"/>
        <w:rPr>
          <w:b/>
        </w:rPr>
      </w:pPr>
      <w:r w:rsidRPr="00751CDA">
        <w:rPr>
          <w:rFonts w:hint="eastAsia"/>
          <w:b/>
        </w:rPr>
        <w:t>BS</w:t>
      </w:r>
      <w:r w:rsidRPr="00751CDA">
        <w:rPr>
          <w:rFonts w:hint="eastAsia"/>
          <w:b/>
        </w:rPr>
        <w:t>模型</w:t>
      </w:r>
      <w:r w:rsidRPr="00751CDA">
        <w:rPr>
          <w:b/>
          <w:position w:val="-6"/>
        </w:rPr>
        <w:object w:dxaOrig="639" w:dyaOrig="279">
          <v:shape id="_x0000_i1028" type="#_x0000_t75" style="width:31.95pt;height:13.75pt" o:ole="">
            <v:imagedata r:id="rId11" o:title=""/>
          </v:shape>
          <o:OLEObject Type="Embed" ProgID="Equation.DSMT4" ShapeID="_x0000_i1028" DrawAspect="Content" ObjectID="_1567152091" r:id="rId12"/>
        </w:object>
      </w:r>
    </w:p>
    <w:p w:rsidR="00C42005" w:rsidRPr="00615224" w:rsidRDefault="00C42005" w:rsidP="0061522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615224">
        <w:rPr>
          <w:rFonts w:hint="eastAsia"/>
          <w:color w:val="FF0000"/>
        </w:rPr>
        <w:t>Delta</w:t>
      </w:r>
      <w:r w:rsidR="00615224">
        <w:rPr>
          <w:color w:val="FF0000"/>
        </w:rPr>
        <w:t>:</w:t>
      </w:r>
    </w:p>
    <w:p w:rsidR="00615224" w:rsidRDefault="00B02A8A" w:rsidP="00751CDA">
      <w:pPr>
        <w:ind w:left="420"/>
      </w:pPr>
      <w:r w:rsidRPr="00B02A8A">
        <w:rPr>
          <w:position w:val="-24"/>
        </w:rPr>
        <w:object w:dxaOrig="1719" w:dyaOrig="660">
          <v:shape id="_x0000_i1029" type="#_x0000_t75" style="width:85.75pt;height:33.2pt" o:ole="">
            <v:imagedata r:id="rId13" o:title=""/>
          </v:shape>
          <o:OLEObject Type="Embed" ProgID="Equation.DSMT4" ShapeID="_x0000_i1029" DrawAspect="Content" ObjectID="_1567152092" r:id="rId14"/>
        </w:object>
      </w:r>
      <w:r>
        <w:t xml:space="preserve"> </w:t>
      </w:r>
    </w:p>
    <w:p w:rsidR="00615224" w:rsidRPr="00751CDA" w:rsidRDefault="00040D06" w:rsidP="00615224">
      <w:pPr>
        <w:pStyle w:val="a3"/>
        <w:numPr>
          <w:ilvl w:val="0"/>
          <w:numId w:val="3"/>
        </w:numPr>
        <w:ind w:firstLineChars="0"/>
        <w:rPr>
          <w:b/>
        </w:rPr>
      </w:pPr>
      <w:r w:rsidRPr="00751CDA">
        <w:rPr>
          <w:rFonts w:hint="eastAsia"/>
          <w:b/>
        </w:rPr>
        <w:t>动态对冲盈亏</w:t>
      </w:r>
      <w:r w:rsidR="00615224" w:rsidRPr="00751CDA">
        <w:rPr>
          <w:rFonts w:hint="eastAsia"/>
          <w:b/>
        </w:rPr>
        <w:t>（</w:t>
      </w:r>
      <w:proofErr w:type="spellStart"/>
      <w:r w:rsidR="00615224" w:rsidRPr="00751CDA">
        <w:rPr>
          <w:rFonts w:hint="eastAsia"/>
          <w:b/>
        </w:rPr>
        <w:t>PnL</w:t>
      </w:r>
      <w:proofErr w:type="spellEnd"/>
      <w:r w:rsidR="007E4BDB" w:rsidRPr="00751CDA">
        <w:rPr>
          <w:rFonts w:hint="eastAsia"/>
          <w:b/>
        </w:rPr>
        <w:t>%</w:t>
      </w:r>
      <w:r w:rsidR="00615224" w:rsidRPr="00751CDA">
        <w:rPr>
          <w:rFonts w:hint="eastAsia"/>
          <w:b/>
        </w:rPr>
        <w:t>）</w:t>
      </w:r>
    </w:p>
    <w:p w:rsidR="00615224" w:rsidRDefault="00873675" w:rsidP="00615224">
      <w:pPr>
        <w:pStyle w:val="a3"/>
        <w:ind w:left="420" w:firstLineChars="0" w:firstLine="0"/>
      </w:pPr>
      <w:r>
        <w:rPr>
          <w:rFonts w:hint="eastAsia"/>
        </w:rPr>
        <w:t>平直期权：</w:t>
      </w:r>
      <w:r>
        <w:rPr>
          <w:rFonts w:hint="eastAsia"/>
        </w:rPr>
        <w:t>S/K</w:t>
      </w:r>
      <w:r w:rsidR="00391D75">
        <w:rPr>
          <w:rFonts w:hint="eastAsia"/>
        </w:rPr>
        <w:t>在（</w:t>
      </w:r>
      <w:r w:rsidR="00391D75">
        <w:rPr>
          <w:rFonts w:hint="eastAsia"/>
        </w:rPr>
        <w:t>0.98,1.02</w:t>
      </w:r>
      <w:r w:rsidR="00391D75">
        <w:rPr>
          <w:rFonts w:hint="eastAsia"/>
        </w:rPr>
        <w:t>）区间</w:t>
      </w:r>
    </w:p>
    <w:p w:rsidR="00751CDA" w:rsidRDefault="00040D06" w:rsidP="00615224">
      <w:pPr>
        <w:pStyle w:val="a3"/>
        <w:ind w:left="420" w:firstLineChars="0" w:firstLine="0"/>
      </w:pPr>
      <w:r>
        <w:rPr>
          <w:rFonts w:hint="eastAsia"/>
        </w:rPr>
        <w:t>盈亏</w:t>
      </w:r>
      <w:proofErr w:type="spellStart"/>
      <w:r w:rsidR="00915AF3">
        <w:rPr>
          <w:rFonts w:hint="eastAsia"/>
        </w:rPr>
        <w:t>PnL</w:t>
      </w:r>
      <w:proofErr w:type="spellEnd"/>
      <w:r w:rsidR="00915AF3">
        <w:rPr>
          <w:rFonts w:hint="eastAsia"/>
        </w:rPr>
        <w:t>：</w:t>
      </w:r>
      <w:r w:rsidR="00B5331D">
        <w:rPr>
          <w:rFonts w:hint="eastAsia"/>
        </w:rPr>
        <w:t>不取绝对值，可正负相抵</w:t>
      </w:r>
      <w:r w:rsidR="00751CDA">
        <w:rPr>
          <w:rFonts w:hint="eastAsia"/>
        </w:rPr>
        <w:t>。</w:t>
      </w:r>
    </w:p>
    <w:p w:rsidR="00751CDA" w:rsidRDefault="00751CDA" w:rsidP="00615224">
      <w:pPr>
        <w:pStyle w:val="a3"/>
        <w:ind w:left="420" w:firstLineChars="0" w:firstLine="0"/>
      </w:pPr>
      <w:r>
        <w:rPr>
          <w:rFonts w:hint="eastAsia"/>
        </w:rPr>
        <w:t>对冲标的：对冲选取的是</w:t>
      </w:r>
      <w:r>
        <w:rPr>
          <w:rFonts w:hint="eastAsia"/>
        </w:rPr>
        <w:t>50ETF</w:t>
      </w:r>
      <w:r>
        <w:rPr>
          <w:rFonts w:hint="eastAsia"/>
        </w:rPr>
        <w:t>而不是期货，可能会造成一定的偏差</w:t>
      </w:r>
      <w:r w:rsidR="008B1C0B">
        <w:rPr>
          <w:rFonts w:hint="eastAsia"/>
        </w:rPr>
        <w:t>。</w:t>
      </w:r>
      <w:r>
        <w:rPr>
          <w:rFonts w:hint="eastAsia"/>
        </w:rPr>
        <w:t>有研究说</w:t>
      </w:r>
      <w:r>
        <w:rPr>
          <w:rFonts w:hint="eastAsia"/>
        </w:rPr>
        <w:t>50ETF</w:t>
      </w:r>
      <w:proofErr w:type="gramStart"/>
      <w:r>
        <w:rPr>
          <w:rFonts w:hint="eastAsia"/>
        </w:rPr>
        <w:t>期权跟</w:t>
      </w:r>
      <w:proofErr w:type="gramEnd"/>
      <w:r>
        <w:rPr>
          <w:rFonts w:hint="eastAsia"/>
        </w:rPr>
        <w:t>期货一致性更高，可能用期货</w:t>
      </w:r>
      <w:proofErr w:type="gramStart"/>
      <w:r>
        <w:rPr>
          <w:rFonts w:hint="eastAsia"/>
        </w:rPr>
        <w:t>对冲会得</w:t>
      </w:r>
      <w:proofErr w:type="gramEnd"/>
      <w:r>
        <w:rPr>
          <w:rFonts w:hint="eastAsia"/>
        </w:rPr>
        <w:t>到更好的效果</w:t>
      </w:r>
      <w:r w:rsidR="003B354F">
        <w:rPr>
          <w:rFonts w:hint="eastAsia"/>
        </w:rPr>
        <w:t>。</w:t>
      </w:r>
    </w:p>
    <w:p w:rsidR="00826589" w:rsidRPr="00751CDA" w:rsidRDefault="00826589" w:rsidP="00615224">
      <w:pPr>
        <w:pStyle w:val="a3"/>
        <w:ind w:left="420" w:firstLineChars="0" w:firstLine="0"/>
      </w:pPr>
      <w:r>
        <w:rPr>
          <w:rFonts w:hint="eastAsia"/>
        </w:rPr>
        <w:t>对冲盈亏</w:t>
      </w:r>
      <w:r w:rsidR="001758E1">
        <w:rPr>
          <w:rFonts w:hint="eastAsia"/>
        </w:rPr>
        <w:t>如下图所示：</w:t>
      </w:r>
    </w:p>
    <w:p w:rsidR="00751CDA" w:rsidRDefault="00751CDA">
      <w:r>
        <w:br w:type="page"/>
      </w:r>
    </w:p>
    <w:p w:rsidR="00915AF3" w:rsidRDefault="00915AF3" w:rsidP="00615224">
      <w:pPr>
        <w:pStyle w:val="a3"/>
        <w:ind w:left="420" w:firstLineChars="0" w:firstLine="0"/>
      </w:pPr>
    </w:p>
    <w:tbl>
      <w:tblPr>
        <w:tblStyle w:val="2"/>
        <w:tblW w:w="10065" w:type="dxa"/>
        <w:tblLook w:val="04A0" w:firstRow="1" w:lastRow="0" w:firstColumn="1" w:lastColumn="0" w:noHBand="0" w:noVBand="1"/>
      </w:tblPr>
      <w:tblGrid>
        <w:gridCol w:w="2127"/>
        <w:gridCol w:w="1352"/>
        <w:gridCol w:w="1518"/>
        <w:gridCol w:w="1349"/>
        <w:gridCol w:w="1828"/>
        <w:gridCol w:w="1891"/>
      </w:tblGrid>
      <w:tr w:rsidR="00751CDA" w:rsidRPr="00751CDA" w:rsidTr="00751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center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sample dates</w:t>
            </w:r>
          </w:p>
        </w:tc>
        <w:tc>
          <w:tcPr>
            <w:tcW w:w="1352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contract month</w:t>
            </w:r>
          </w:p>
        </w:tc>
        <w:tc>
          <w:tcPr>
            <w:tcW w:w="1518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moneyness</w:t>
            </w:r>
          </w:p>
        </w:tc>
        <w:tc>
          <w:tcPr>
            <w:tcW w:w="5068" w:type="dxa"/>
            <w:gridSpan w:val="3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</w:t>
            </w:r>
            <w:proofErr w:type="spellStart"/>
            <w:proofErr w:type="gramStart"/>
            <w:r w:rsidRPr="00751CDA">
              <w:rPr>
                <w:rFonts w:ascii="等线" w:eastAsia="等线" w:hAnsi="等线" w:cs="宋体" w:hint="eastAsia"/>
                <w:color w:val="000000"/>
              </w:rPr>
              <w:t>PnL</w:t>
            </w:r>
            <w:proofErr w:type="spellEnd"/>
            <w:r w:rsidRPr="00751CDA">
              <w:rPr>
                <w:rFonts w:ascii="等线" w:eastAsia="等线" w:hAnsi="等线" w:cs="宋体" w:hint="eastAsia"/>
                <w:color w:val="000000"/>
              </w:rPr>
              <w:t>(</w:t>
            </w:r>
            <w:proofErr w:type="gramEnd"/>
            <w:r w:rsidRPr="00751CDA">
              <w:rPr>
                <w:rFonts w:ascii="等线" w:eastAsia="等线" w:hAnsi="等线" w:cs="宋体" w:hint="eastAsia"/>
                <w:color w:val="000000"/>
              </w:rPr>
              <w:t>%)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bottom w:val="single" w:sz="12" w:space="0" w:color="auto"/>
            </w:tcBorders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vMerge/>
            <w:tcBorders>
              <w:bottom w:val="single" w:sz="12" w:space="0" w:color="auto"/>
            </w:tcBorders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518" w:type="dxa"/>
            <w:vMerge/>
            <w:tcBorders>
              <w:bottom w:val="single" w:sz="12" w:space="0" w:color="auto"/>
            </w:tcBorders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49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BS delta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SVI total delta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SVI effective delta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b w:val="0"/>
                <w:bCs w:val="0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2015.9-2016.1</w:t>
            </w:r>
          </w:p>
        </w:tc>
        <w:tc>
          <w:tcPr>
            <w:tcW w:w="1352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  <w:tc>
          <w:tcPr>
            <w:tcW w:w="151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-20.1700%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10.5800%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-2.8000%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-3.7400%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-4.2200%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-4.5200%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-1.0800%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-0.2500%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-0.3700%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-0.4000%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0.2400%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0.3900%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b w:val="0"/>
                <w:bCs w:val="0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2016.2-2016.7</w:t>
            </w:r>
          </w:p>
        </w:tc>
        <w:tc>
          <w:tcPr>
            <w:tcW w:w="1352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  <w:tc>
          <w:tcPr>
            <w:tcW w:w="151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-31.3700%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8.3300%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5.7600%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-3.4500%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-0.2200%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-1.2000%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2.2300%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0.5100%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0.5300%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2.3200%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0.7900%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0.8200%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both"/>
              <w:rPr>
                <w:rFonts w:ascii="等线" w:eastAsia="等线" w:hAnsi="等线" w:cs="宋体"/>
                <w:b w:val="0"/>
                <w:bCs w:val="0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2016.8-2017.1</w:t>
            </w:r>
          </w:p>
        </w:tc>
        <w:tc>
          <w:tcPr>
            <w:tcW w:w="1352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  <w:tc>
          <w:tcPr>
            <w:tcW w:w="151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-47.4800%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3.0700%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-9.7700%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-11.1800%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-8.2400%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-4.1900%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1.6300%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0.6100%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0.7900%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1.2700%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0.3700%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0.4200%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both"/>
              <w:rPr>
                <w:rFonts w:ascii="等线" w:eastAsia="等线" w:hAnsi="等线" w:cs="宋体"/>
                <w:b w:val="0"/>
                <w:bCs w:val="0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2017.2-2017.7</w:t>
            </w:r>
          </w:p>
        </w:tc>
        <w:tc>
          <w:tcPr>
            <w:tcW w:w="1352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  <w:tc>
          <w:tcPr>
            <w:tcW w:w="151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-37.5000%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-6.7800%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-18.4400%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-6.7400%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-3.5200%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-2.1500%</w:t>
            </w:r>
          </w:p>
        </w:tc>
      </w:tr>
      <w:tr w:rsidR="00751CDA" w:rsidRPr="00751CDA" w:rsidTr="00751CD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1518" w:type="dxa"/>
            <w:noWrap/>
            <w:hideMark/>
          </w:tcPr>
          <w:p w:rsidR="00751CDA" w:rsidRPr="00751CDA" w:rsidRDefault="00751CDA" w:rsidP="0075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-1.0900%</w:t>
            </w:r>
          </w:p>
        </w:tc>
        <w:tc>
          <w:tcPr>
            <w:tcW w:w="1828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-0.6300%</w:t>
            </w:r>
          </w:p>
        </w:tc>
        <w:tc>
          <w:tcPr>
            <w:tcW w:w="1891" w:type="dxa"/>
            <w:noWrap/>
            <w:hideMark/>
          </w:tcPr>
          <w:p w:rsidR="00751CDA" w:rsidRPr="00751CDA" w:rsidRDefault="00751CDA" w:rsidP="00751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-0.4000%</w:t>
            </w:r>
          </w:p>
        </w:tc>
      </w:tr>
      <w:tr w:rsidR="00751CDA" w:rsidRPr="00751CDA" w:rsidTr="00751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352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3</w:t>
            </w:r>
          </w:p>
        </w:tc>
        <w:tc>
          <w:tcPr>
            <w:tcW w:w="151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 xml:space="preserve"> ATM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-0.3800%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-0.3300%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noWrap/>
            <w:hideMark/>
          </w:tcPr>
          <w:p w:rsidR="00751CDA" w:rsidRPr="00751CDA" w:rsidRDefault="00751CDA" w:rsidP="00751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751CDA">
              <w:rPr>
                <w:rFonts w:ascii="等线" w:eastAsia="等线" w:hAnsi="等线" w:cs="宋体" w:hint="eastAsia"/>
                <w:color w:val="000000"/>
              </w:rPr>
              <w:t>-0.1200%</w:t>
            </w:r>
          </w:p>
        </w:tc>
      </w:tr>
    </w:tbl>
    <w:p w:rsidR="00751CDA" w:rsidRPr="00915AF3" w:rsidRDefault="00751CDA" w:rsidP="00751CDA">
      <w:pPr>
        <w:pStyle w:val="a3"/>
        <w:ind w:left="420" w:firstLineChars="0" w:firstLine="0"/>
      </w:pPr>
    </w:p>
    <w:sectPr w:rsidR="00751CDA" w:rsidRPr="00915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6D79"/>
    <w:multiLevelType w:val="hybridMultilevel"/>
    <w:tmpl w:val="52E21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B1C9A"/>
    <w:multiLevelType w:val="hybridMultilevel"/>
    <w:tmpl w:val="BEB82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6E5038"/>
    <w:multiLevelType w:val="hybridMultilevel"/>
    <w:tmpl w:val="59D47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72F368E"/>
    <w:multiLevelType w:val="hybridMultilevel"/>
    <w:tmpl w:val="9B8001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4563D7"/>
    <w:multiLevelType w:val="hybridMultilevel"/>
    <w:tmpl w:val="F14CB55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2E74E64"/>
    <w:multiLevelType w:val="hybridMultilevel"/>
    <w:tmpl w:val="2BD4C07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C"/>
    <w:rsid w:val="00040D06"/>
    <w:rsid w:val="00066CAA"/>
    <w:rsid w:val="000A0CEC"/>
    <w:rsid w:val="0010511D"/>
    <w:rsid w:val="001758E1"/>
    <w:rsid w:val="001C2EFC"/>
    <w:rsid w:val="001C6147"/>
    <w:rsid w:val="002D48E6"/>
    <w:rsid w:val="00391D75"/>
    <w:rsid w:val="003A4DEC"/>
    <w:rsid w:val="003B354F"/>
    <w:rsid w:val="00504A9A"/>
    <w:rsid w:val="00547943"/>
    <w:rsid w:val="00615224"/>
    <w:rsid w:val="007314BA"/>
    <w:rsid w:val="00751CDA"/>
    <w:rsid w:val="007670E9"/>
    <w:rsid w:val="007E3B02"/>
    <w:rsid w:val="007E4BDB"/>
    <w:rsid w:val="00825C8A"/>
    <w:rsid w:val="00826589"/>
    <w:rsid w:val="00873675"/>
    <w:rsid w:val="008B1C0B"/>
    <w:rsid w:val="008B48FB"/>
    <w:rsid w:val="008E1948"/>
    <w:rsid w:val="00915AF3"/>
    <w:rsid w:val="00A0622C"/>
    <w:rsid w:val="00A271CC"/>
    <w:rsid w:val="00B02A8A"/>
    <w:rsid w:val="00B230BC"/>
    <w:rsid w:val="00B5231E"/>
    <w:rsid w:val="00B5331D"/>
    <w:rsid w:val="00C35F72"/>
    <w:rsid w:val="00C42005"/>
    <w:rsid w:val="00D205CA"/>
    <w:rsid w:val="00D32F24"/>
    <w:rsid w:val="00F2195C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F37"/>
  <w15:chartTrackingRefBased/>
  <w15:docId w15:val="{EC51C2AA-EC3D-4D56-AE68-57C540C7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A9A"/>
    <w:pPr>
      <w:ind w:firstLineChars="200" w:firstLine="420"/>
    </w:pPr>
  </w:style>
  <w:style w:type="table" w:styleId="3">
    <w:name w:val="Plain Table 3"/>
    <w:basedOn w:val="a1"/>
    <w:uiPriority w:val="43"/>
    <w:rsid w:val="00751C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51C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30</cp:revision>
  <dcterms:created xsi:type="dcterms:W3CDTF">2017-09-17T02:14:00Z</dcterms:created>
  <dcterms:modified xsi:type="dcterms:W3CDTF">2017-09-17T03:15:00Z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