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rFonts w:ascii="Calibri" w:cs="Calibri" w:eastAsia="Calibri" w:hAnsi="Calibri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>Preço de combustível e peso no orçamento do consumidor: uma comparação entre Brasília e Goiânia</w:t>
      </w:r>
    </w:p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1155c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Calibri" w:cs="Calibri" w:eastAsia="Calibri" w:hAnsi="Calibri"/>
          <w:color w:val="1155cc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>Inteligência de Negócio (INE) - Prof. Bruno Miranda - 2º semestre de 2026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color w:val="1155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>Claudio da Aparecida Meireles Filho (2321070) e Felipe Pereira Dutra (2321017)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empresa que você irá abordar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>O estudo é feito sobre o segmento de revenda de combustíveis, olhando as empresas que disputam a bomba em duas capitais vizinhas: Brasília e Goiânia. As empresas observadas são as que aparecem nomeadas no campo Bandeira do levantamento de preços da ANP - as maiores distribuidoras do país, Vibra Energia (bandeira BR), Ipiranga e Raízen (bandeira Shell) - e o conjunto dos postos de bandeira branca, que não têm contrato de exclusividade com nenhuma delas.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>A escolha se justifica porque a ANP publica o preço coletado posto a posto, com o município e a bandeira de cada revendedor. Isso permite analisar a estratégia de preço de empresas reais, com nome e marca, sem depender de dado proprietário.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/>
          <w:rtl w:val="0"/>
        </w:rPr>
        <w:t xml:space="preserve">Para quem o estudo é feito: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>para a população, o consumidor que abastece. O mesmo dado que uma área de pricing usa para monitorar a concorrência é aqui virado para o outro lado do balcão, para responder três perguntas do dia a dia de quem dirige: onde estou pagando mais caro, quanto eu economizo se pesquisar antes de abastecer, e quanto do meu salário está indo para o tanque. Brasília e Goiânia foram escolhidas por serem capitais vizinhas, com fluxo diário de pessoas entre elas e regimes tributários estaduais distintos - o que torna a comparação concreta para o morador das duas cidades.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Área de negócio e o tema abordado.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/>
          <w:rtl w:val="0"/>
        </w:rPr>
        <w:t xml:space="preserve">Área de negócio: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>Precificação e Inteligência de Mercado (pricing), aplicada do ponto de vista do consumidor. O trabalho usa os mesmos indicadores que a área de pricing de uma rede acompanha - preço médio por praça, dispersão entre concorrentes, posição por bandeira - mas para responder onde e quando vale a pena abastecer, e não que preço cobrar.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/>
          <w:rtl w:val="0"/>
        </w:rPr>
        <w:t xml:space="preserve">Tema: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>Preço de revenda de gasolina comum, etanol hidratado e diesel S-10 em Brasília e Goiânia, e o peso desse preço no orçamento das famílias. O trabalho compara as duas capitais do preço mínimo ao máximo coletado, mede quanto se economiza escolhendo o posto certo, calcula que percentual da renda média mensal vai para o combustível em cada uma e verifica em que períodos o etanol compensou frente à gasolina.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/>
          <w:rtl w:val="0"/>
        </w:rPr>
        <w:t xml:space="preserve">Por que esse tema: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>combustível é um preço que todo consumidor acompanha e sobre o qual quase ninguém tem informação organizada na hora de decidir. A coleta da ANP é semanal, posto a posto, e está publicada desde 2004, o que dá ao projeto uma base com as três dimensões que o Power BI explora bem: geografia (região, UF e município), tempo (data da coleta) e produto/bandeira. Cruzada com a renda média do IBGE, ela deixa de ser uma série de preços e vira uma medida de impacto no bolso.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Quais são as perguntas que o estudo se propõe a resolver?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65"/>
        <w:gridCol w:w="4350"/>
        <w:tblGridChange w:id="0">
          <w:tblGrid>
            <w:gridCol w:w="4365"/>
            <w:gridCol w:w="435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1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Pergunta(s) negocial (ais)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keepNext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Cs w:val="1"/>
                <w:rtl w:val="0"/>
              </w:rPr>
              <w:t>Brasília ou Goiânia: em qual capital o consumidor paga mais caro pelo etanol hidratado e pela gasolina comum? Comparando o preço mínimo, o médio e o máximo coletados em cada semana, qual é a diferença entre as duas cidades em reais por litro?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keepNext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Cs w:val="1"/>
                <w:rtl w:val="0"/>
              </w:rPr>
              <w:t>Quanto da renda média mensal de uma família vai para o combustível em cada uma das duas capitais? Tomando um consumo de referência de 100 litros de gasolina por mês - cerca de 1.000 km rodados com um carro que faz 10 km/l - que percentual isso representa do rendimento médio do Distrito Federal e de Goiás, e esse percentual subiu ou caiu na última década?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keepNext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Cs w:val="1"/>
                <w:rtl w:val="0"/>
              </w:rPr>
              <w:t>Quanto o consumidor economiza pesquisando antes de abastecer? Na mesma cidade e na mesma semana de coleta, qual é a diferença entre o posto mais caro e o mais barato, em reais por litro e no custo de um tanque cheio?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keepNext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Cs w:val="1"/>
                <w:rtl w:val="0"/>
              </w:rPr>
              <w:t>Em quais períodos o etanol hidratado compensou frente à gasolina comum em Brasília e em Goiânia, aplicando a regra de paridade de 70% entre os dois preços? A resposta é a mesma nas duas capitais?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keepNext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Cs w:val="1"/>
                <w:rtl w:val="0"/>
              </w:rPr>
              <w:t>A bandeira do posto faz diferença no bolso? Postos BR, Ipiranga e Shell cobram de forma consistentemente diferente dos postos de bandeira branca, e essa diferença é igual em Brasília e em Goiânia?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keepNext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Cs w:val="1"/>
                <w:rtl w:val="0"/>
              </w:rPr>
              <w:t>Quanto da alta do combustível é alta de verdade? Descontada a inflação medida pelo IPCA, o preço real do litro subiu ou caiu na última década nas duas capitais?</w:t>
            </w:r>
          </w:p>
        </w:tc>
      </w:tr>
    </w:tbl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Quais bases de dados serão utilizadas?  Indique o link da sua fonte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>As quatro bases são públicas, de download livre e sem cadastro. A base principal é o Levantamento de Preços de Combustíveis da ANP, com a coleta semanal do preço praticado em postos revendedores por região, UF, município, produto, data da coleta, valor de venda e bandeira, publicada desde 2004 - é dela que saem Brasília e Goiânia, posto a posto. As outras três entram como apoio: as vendas de derivados e biocombustíveis dão o volume por UF e produto, usado para ponderar as médias pelo tamanho de cada mercado; a PNAD Contínua dá o rendimento médio mensal do Distrito Federal e de Goiás, que é o denominador do cálculo do peso no orçamento; e o IPCA entra como deflator, para separar alta real de combustível de inflação geral. Os arquivos da ANP também estão espelhados no Portal Brasileiro de Dados Abertos (dados.gov.br).</w:t>
      </w:r>
    </w:p>
    <w:tbl>
      <w:tblPr>
        <w:tblStyle w:val="Table2"/>
        <w:tblW w:w="87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  <w:tblLayout w:type="fixed"/>
        <w:tblW w:type="dxa" w:w="9072"/>
      </w:tblPr>
      <w:tblGrid>
        <w:gridCol w:w="4104"/>
        <w:gridCol w:w="4968"/>
        <w:tblGridChange w:id="0">
          <w:tblGrid>
            <w:gridCol w:w="2764"/>
            <w:gridCol w:w="5953"/>
          </w:tblGrid>
        </w:tblGridChange>
      </w:tblGrid>
      <w:tr>
        <w:trPr>
          <w:cantSplit w:val="0"/>
          <w:tblHeader w:val="0"/>
        </w:trPr>
        <w:tc>
          <w:tcPr>
            <w:tcW w:type="dxa" w:w="4104"/>
          </w:tcPr>
          <w:p w:rsidR="00000000" w:rsidDel="00000000" w:rsidP="00000000" w:rsidRDefault="00000000" w:rsidRPr="00000000" w14:paraId="0000001D">
            <w:pPr>
              <w:keepNext w:val="1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Base de dados</w:t>
            </w:r>
          </w:p>
        </w:tc>
        <w:tc>
          <w:tcPr>
            <w:tcW w:type="dxa" w:w="4968"/>
          </w:tcPr>
          <w:p w:rsidR="00000000" w:rsidDel="00000000" w:rsidP="00000000" w:rsidRDefault="00000000" w:rsidRPr="00000000" w14:paraId="0000001E">
            <w:pPr>
              <w:pStyle w:val="Heading1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bookmarkStart w:colFirst="0" w:colLast="0" w:name="_heading=h.wjs3yv5xyvfr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u w:val="none"/>
                <w:rtl w:val="0"/>
              </w:rPr>
              <w:t xml:space="preserve">Link público</w:t>
            </w:r>
          </w:p>
        </w:tc>
      </w:tr>
      <w:tr>
        <w:trPr>
          <w:cantSplit w:val="0"/>
          <w:tblHeader w:val="0"/>
        </w:trPr>
        <w:tc>
          <w:tcPr>
            <w:tcW w:type="dxa" w:w="4104"/>
          </w:tcPr>
          <w:p w:rsidR="00000000" w:rsidDel="00000000" w:rsidP="00000000" w:rsidRDefault="00000000" w:rsidRPr="00000000" w14:paraId="0000001F">
            <w:pPr>
              <w:keepNext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Cs w:val="1"/>
                <w:rtl w:val="0"/>
              </w:rPr>
              <w:t>ANP - Série histórica de preços de combustíveis (Levantamento de Preços). Base principal: preço posto a posto, por município e bandeira.</w:t>
            </w:r>
          </w:p>
        </w:tc>
        <w:tc>
          <w:tcPr>
            <w:tcW w:type="dxa" w:w="4968"/>
          </w:tcPr>
          <w:p w:rsidR="00000000" w:rsidDel="00000000" w:rsidP="00000000" w:rsidRDefault="00000000" w:rsidRPr="00000000" w14:paraId="00000020">
            <w:pPr>
              <w:keepNext w:val="1"/>
              <w:rPr>
                <w:rFonts w:ascii="Calibri" w:cs="Calibri" w:eastAsia="Calibri" w:hAnsi="Calibri"/>
              </w:rPr>
            </w:pPr>
            <w:hyperlink r:id="rId8">
              <w:r>
                <w:rPr>
                  <w:rFonts w:ascii="Calibri" w:cs="Calibri" w:eastAsia="Calibri" w:hAnsi="Calibri"/>
                  <w:bCs w:val="1"/>
                  <w:rtl w:val="0"/>
                  <w:color w:val="0563C1"/>
                  <w:u w:val="single"/>
                </w:rPr>
                <w:t>https://www.gov.br/anp/pt-br/centrais-de-conteudo/dados-abertos/serie-historica-de-precos-de-combustiveis</w:t>
              </w:r>
            </w:hyperlink>
          </w:p>
        </w:tc>
      </w:tr>
      <w:tr>
        <w:trPr>
          <w:cantSplit w:val="0"/>
          <w:tblHeader w:val="0"/>
        </w:trPr>
        <w:tc>
          <w:tcPr>
            <w:tcW w:type="dxa" w:w="4104"/>
          </w:tcPr>
          <w:p w:rsidR="00000000" w:rsidDel="00000000" w:rsidP="00000000" w:rsidRDefault="00000000" w:rsidRPr="00000000" w14:paraId="00000021">
            <w:pPr>
              <w:keepNext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Cs w:val="1"/>
                <w:rtl w:val="0"/>
              </w:rPr>
              <w:t>IBGE / SIDRA - PNAD Contínua, tabela 5437. Rendimento médio mensal por UF (DF e GO), usado no cálculo do peso do combustível na renda.</w:t>
            </w:r>
          </w:p>
        </w:tc>
        <w:tc>
          <w:tcPr>
            <w:tcW w:type="dxa" w:w="4968"/>
          </w:tcPr>
          <w:p w:rsidR="00000000" w:rsidDel="00000000" w:rsidP="00000000" w:rsidRDefault="00000000" w:rsidRPr="00000000" w14:paraId="00000022">
            <w:pPr>
              <w:keepNext w:val="1"/>
              <w:rPr>
                <w:rFonts w:ascii="Calibri" w:cs="Calibri" w:eastAsia="Calibri" w:hAnsi="Calibri"/>
              </w:rPr>
            </w:pPr>
            <w:hyperlink r:id="rId9">
              <w:r>
                <w:rPr>
                  <w:rFonts w:ascii="Calibri" w:cs="Calibri" w:eastAsia="Calibri" w:hAnsi="Calibri"/>
                  <w:bCs w:val="1"/>
                  <w:rtl w:val="0"/>
                  <w:color w:val="0563C1"/>
                  <w:u w:val="single"/>
                </w:rPr>
                <w:t>https://sidra.ibge.gov.br/tabela/5437</w:t>
              </w:r>
            </w:hyperlink>
          </w:p>
        </w:tc>
      </w:tr>
      <w:tr>
        <w:trPr>
          <w:cantSplit w:val="0"/>
          <w:tblHeader w:val="0"/>
        </w:trPr>
        <w:tc>
          <w:tcPr>
            <w:tcW w:type="dxa" w:w="4104"/>
          </w:tcPr>
          <w:p w:rsidR="00000000" w:rsidDel="00000000" w:rsidP="00000000" w:rsidRDefault="00000000" w:rsidRPr="00000000" w14:paraId="00000023">
            <w:pPr>
              <w:keepNext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Cs w:val="1"/>
                <w:rtl w:val="0"/>
              </w:rPr>
              <w:t>IBGE / SIDRA - IPCA, tabela 1737. Base de apoio (deflator dos preços).</w:t>
            </w:r>
          </w:p>
        </w:tc>
        <w:tc>
          <w:tcPr>
            <w:tcW w:type="dxa" w:w="4968"/>
          </w:tcPr>
          <w:p w:rsidR="00000000" w:rsidDel="00000000" w:rsidP="00000000" w:rsidRDefault="00000000" w:rsidRPr="00000000" w14:paraId="00000024">
            <w:pPr>
              <w:keepNext w:val="1"/>
              <w:rPr>
                <w:rFonts w:ascii="Calibri" w:cs="Calibri" w:eastAsia="Calibri" w:hAnsi="Calibri"/>
              </w:rPr>
            </w:pPr>
            <w:hyperlink r:id="rId10">
              <w:r>
                <w:rPr>
                  <w:rFonts w:ascii="Calibri" w:cs="Calibri" w:eastAsia="Calibri" w:hAnsi="Calibri"/>
                  <w:bCs w:val="1"/>
                  <w:rtl w:val="0"/>
                  <w:color w:val="0563C1"/>
                  <w:u w:val="single"/>
                </w:rPr>
                <w:t>https://sidra.ibge.gov.br/tabela/1737</w:t>
              </w:r>
            </w:hyperlink>
          </w:p>
        </w:tc>
      </w:tr>
      <w:tr>
        <w:trPr>
          <w:cantSplit w:val="0"/>
          <w:tblHeader w:val="0"/>
        </w:trPr>
        <w:tc>
          <w:tcPr>
            <w:tcW w:type="dxa" w:w="4104"/>
          </w:tcPr>
          <w:p w:rsidR="00000000" w:rsidDel="00000000" w:rsidP="00000000" w:rsidRDefault="00000000" w:rsidRPr="00000000" w14:paraId="00000025">
            <w:pPr>
              <w:keepNext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Cs w:val="1"/>
                <w:rtl w:val="0"/>
              </w:rPr>
              <w:t>ANP - Vendas de derivados de petróleo e biocombustíveis. Base de apoio (volume por UF e produto).</w:t>
            </w:r>
          </w:p>
        </w:tc>
        <w:tc>
          <w:tcPr>
            <w:tcW w:type="dxa" w:w="4968"/>
          </w:tcPr>
          <w:p w:rsidR="00000000" w:rsidDel="00000000" w:rsidP="00000000" w:rsidRDefault="00000000" w:rsidRPr="00000000" w14:paraId="00000026">
            <w:pPr>
              <w:keepNext w:val="1"/>
              <w:rPr>
                <w:rFonts w:ascii="Calibri" w:cs="Calibri" w:eastAsia="Calibri" w:hAnsi="Calibri"/>
              </w:rPr>
            </w:pPr>
            <w:hyperlink r:id="rId11">
              <w:r>
                <w:rPr>
                  <w:rFonts w:ascii="Calibri" w:cs="Calibri" w:eastAsia="Calibri" w:hAnsi="Calibri"/>
                  <w:bCs w:val="1"/>
                  <w:rtl w:val="0"/>
                  <w:color w:val="0563C1"/>
                  <w:u w:val="single"/>
                </w:rPr>
                <w:t>https://www.gov.br/anp/pt-br/centrais-de-conteudo/dados-abertos/vendas-de-derivados-de-petroleo-e-biocombustiveis</w:t>
              </w:r>
            </w:hyperlink>
          </w:p>
        </w:tc>
      </w:tr>
    </w:tbl>
    <w:sectPr>
      <w:headerReference r:id="rId7" w:type="default"/>
      <w:pgSz w:h="16838" w:w="11906" w:orient="portrait"/>
      <w:pgMar w:bottom="2835" w:top="1973" w:left="1134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inline distB="19050" distT="19050" distL="19050" distR="19050">
          <wp:extent cx="449898" cy="44989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9898" cy="44989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jc w:val="both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EB73E1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EB73E1"/>
  </w:style>
  <w:style w:type="paragraph" w:styleId="Rodap">
    <w:name w:val="footer"/>
    <w:basedOn w:val="Normal"/>
    <w:link w:val="RodapChar"/>
    <w:uiPriority w:val="99"/>
    <w:unhideWhenUsed w:val="1"/>
    <w:rsid w:val="00EB73E1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EB73E1"/>
  </w:style>
  <w:style w:type="character" w:styleId="Ttulo1Char" w:customStyle="1">
    <w:name w:val="Título 1 Char"/>
    <w:basedOn w:val="Fontepargpadro"/>
    <w:link w:val="Ttulo1"/>
    <w:rsid w:val="008F0A72"/>
    <w:rPr>
      <w:rFonts w:ascii="Times New Roman" w:cs="Times New Roman" w:eastAsia="Times New Roman" w:hAnsi="Times New Roman"/>
      <w:b w:val="1"/>
      <w:bCs w:val="1"/>
      <w:sz w:val="40"/>
      <w:szCs w:val="40"/>
      <w:u w:val="single"/>
    </w:rPr>
  </w:style>
  <w:style w:type="character" w:styleId="Ttulo2Char" w:customStyle="1">
    <w:name w:val="Título 2 Char"/>
    <w:basedOn w:val="Fontepargpadro"/>
    <w:link w:val="Ttulo2"/>
    <w:rsid w:val="008F0A72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Ttulo3Char" w:customStyle="1">
    <w:name w:val="Título 3 Char"/>
    <w:basedOn w:val="Fontepargpadro"/>
    <w:link w:val="Ttulo3"/>
    <w:rsid w:val="008F0A72"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character" w:styleId="Ttulo4Char" w:customStyle="1">
    <w:name w:val="Título 4 Char"/>
    <w:basedOn w:val="Fontepargpadro"/>
    <w:link w:val="Ttulo4"/>
    <w:rsid w:val="008F0A72"/>
    <w:rPr>
      <w:rFonts w:ascii="Times New Roman" w:cs="Times New Roman" w:eastAsia="Times New Roman" w:hAnsi="Times New Roman"/>
      <w:sz w:val="40"/>
      <w:szCs w:val="20"/>
    </w:rPr>
  </w:style>
  <w:style w:type="paragraph" w:styleId="Corpodetexto2">
    <w:name w:val="Body Text 2"/>
    <w:basedOn w:val="Normal"/>
    <w:link w:val="Corpodetexto2Char"/>
    <w:rsid w:val="008F0A72"/>
    <w:pPr>
      <w:jc w:val="both"/>
    </w:pPr>
    <w:rPr>
      <w:i w:val="1"/>
      <w:iCs w:val="1"/>
    </w:rPr>
  </w:style>
  <w:style w:type="character" w:styleId="Corpodetexto2Char" w:customStyle="1">
    <w:name w:val="Corpo de texto 2 Char"/>
    <w:basedOn w:val="Fontepargpadro"/>
    <w:link w:val="Corpodetexto2"/>
    <w:rsid w:val="008F0A72"/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Corpodetexto">
    <w:name w:val="Body Text"/>
    <w:basedOn w:val="Normal"/>
    <w:link w:val="CorpodetextoChar"/>
    <w:rsid w:val="008F0A72"/>
    <w:pPr>
      <w:spacing w:line="360" w:lineRule="auto"/>
      <w:jc w:val="both"/>
    </w:pPr>
  </w:style>
  <w:style w:type="character" w:styleId="CorpodetextoChar" w:customStyle="1">
    <w:name w:val="Corpo de texto Char"/>
    <w:basedOn w:val="Fontepargpadro"/>
    <w:link w:val="Corpodetexto"/>
    <w:rsid w:val="008F0A72"/>
    <w:rPr>
      <w:rFonts w:ascii="Times New Roman" w:cs="Times New Roman" w:eastAsia="Times New Roman" w:hAnsi="Times New Roman"/>
      <w:sz w:val="24"/>
      <w:szCs w:val="24"/>
    </w:rPr>
  </w:style>
  <w:style w:type="paragraph" w:styleId="Corpodetexto3">
    <w:name w:val="Body Text 3"/>
    <w:basedOn w:val="Normal"/>
    <w:link w:val="Corpodetexto3Char"/>
    <w:rsid w:val="008F0A72"/>
    <w:pPr>
      <w:autoSpaceDE w:val="0"/>
      <w:autoSpaceDN w:val="0"/>
      <w:jc w:val="both"/>
    </w:pPr>
    <w:rPr>
      <w:sz w:val="20"/>
      <w:szCs w:val="20"/>
    </w:rPr>
  </w:style>
  <w:style w:type="character" w:styleId="Corpodetexto3Char" w:customStyle="1">
    <w:name w:val="Corpo de texto 3 Char"/>
    <w:basedOn w:val="Fontepargpadro"/>
    <w:link w:val="Corpodetexto3"/>
    <w:rsid w:val="008F0A72"/>
    <w:rPr>
      <w:rFonts w:ascii="Times New Roman" w:cs="Times New Roman" w:eastAsia="Times New Roman" w:hAnsi="Times New Roman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yperlink" Target="https://www.gov.br/anp/pt-br/centrais-de-conteudo/dados-abertos/serie-historica-de-precos-de-combustiveis" TargetMode="External"/><Relationship Id="rId9" Type="http://schemas.openxmlformats.org/officeDocument/2006/relationships/hyperlink" Target="https://sidra.ibge.gov.br/tabela/5437" TargetMode="External"/><Relationship Id="rId10" Type="http://schemas.openxmlformats.org/officeDocument/2006/relationships/hyperlink" Target="https://sidra.ibge.gov.br/tabela/1737" TargetMode="External"/><Relationship Id="rId11" Type="http://schemas.openxmlformats.org/officeDocument/2006/relationships/hyperlink" Target="https://www.gov.br/anp/pt-br/centrais-de-conteudo/dados-abertos/vendas-de-derivados-de-petroleo-e-biocombustiveis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nxgaREncAFU1xrILKeXw32z3A==">CgMxLjAyDmgud2pzM3l2NXh5dmZyOAByITFqb2JXSzlmSGYzWHNMRGd5YXlpMXpZZEFxdzZSNGJGRA==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2021-02-23T13:43:00Z</dcterms:created>
  <dc:creator>Camila Senaque Lima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0x01010064CAFD264DBE9A44AD109CF93ADA0BEA</vt:lpwstr>
  </property>
</Properties>
</file>