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rPr>
          <w:rFonts w:ascii="Calibri" w:cs="Calibri" w:eastAsia="Calibri" w:hAnsi="Calibri"/>
          <w:b w:val="1"/>
          <w:bCs w:val="1"/>
          <w:color w:val="1155cc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36"/>
          <w:szCs w:val="36"/>
          <w:rtl w:val="0"/>
        </w:rPr>
        <w:t>Precificação de combustíveis no Brasil: evolução, diferenças regionais e dispersão de preço na revenda</w:t>
      </w:r>
    </w:p>
    <w:p w:rsidR="00000000" w:rsidDel="00000000" w:rsidP="00000000" w:rsidRDefault="00000000" w:rsidRPr="00000000" w14:paraId="00000002">
      <w:pPr>
        <w:pStyle w:val="Heading2"/>
        <w:rPr>
          <w:rFonts w:ascii="Calibri" w:cs="Calibri" w:eastAsia="Calibri" w:hAnsi="Calibri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1155cc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>
          <w:rFonts w:ascii="Calibri" w:cs="Calibri" w:eastAsia="Calibri" w:hAnsi="Calibri"/>
          <w:color w:val="1155cc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>Inteligência de Negócio (INE) - Prof. Bruno Miranda - 2º semestre de 2026</w:t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color w:val="1155c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</w: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rtl w:val="0"/>
        </w:rPr>
        <w:t>Claudio da Aparecida Meireles Filho (2321070) e Felipe Pereira Dutra (2321017)</w:t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line="3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 empresa que você irá abordar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estudo é feito sobre o segmento de revenda de combustíveis no Brasil, sob a ótica das distribuidoras que disputam a bomba. As empresas observadas são as que aparecem nomeadas no campo Bandeira do levantamento de preços da ANP: as maiores distribuidoras do país - Vibra Energia (bandeira BR), Ipiranga e Raízen (bandeira Shell) - e o conjunto dos postos de bandeira branca, que não têm contrato de exclusividade com nenhuma delas.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A escolha se justifica porque a ANP publica o preço coletado posto a posto com a bandeira de cada revendedor. Isso permite analisar a estratégia de preço de empresas reais, com nome e marca, sem depender de dado proprietário: a base pública já traz a informação que uma área de pricing usaria para monitorar a concorrência.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recorte é nacional, com abertura para o Distrito Federal - mercado onde a dupla mora e cujo comportamento de preço pretende comparar com o das demais unidades da federação.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Área de negócio e o tema abordado.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Área de negócio: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Precificação e Inteligência de Mercado (pricing). É a área que define o preço de bomba, acompanha o preço praticado pela concorrência em cada praça e monitora a posição competitiva da rede.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Comportamento do preço de revenda de combustíveis no Brasil - gasolina comum, etanol hidratado e diesel S-10. O trabalho vai medir como o preço evoluiu ao longo do tempo, o quanto ele varia entre regiões e unidades da federação, qual é a dispersão de preço dentro de uma mesma cidade, em que condições o etanol se torna vantajoso frente à gasolina e se a bandeira do posto se traduz em diferença consistente de preço.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Por que esse 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combustível é um preço que todo consumidor acompanha e que toda rede de postos precisa decidir toda semana. A coleta da ANP é semanal, posto a posto, e está publicada desde 2004, o que dá ao projeto uma base com as três dimensões que o Power BI explora bem: geografia (região, UF e município), tempo (data da coleta) e produto/bandeira.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são as perguntas que o estudo se propõe a resolver?</w:t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65"/>
        <w:gridCol w:w="4350"/>
        <w:tblGridChange w:id="0">
          <w:tblGrid>
            <w:gridCol w:w="4365"/>
            <w:gridCol w:w="435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Pergunta(s) negocial (ais)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Como evoluiu o preço médio de revenda da gasolina comum, do etanol hidratado e do diesel S-10 no Brasil na última década, e quanto dessa alta se sustenta depois de descontada a inflação medida pelo IPCA?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Quanto o preço do mesmo produto varia entre as regiões e as unidades da federação? Qual é a distância entre a UF mais cara e a mais barata em cada ano, e em que posição desse ranking está o Distrito Federal?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6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Qual é a dispersão de preço dentro de um mesmo município na mesma semana de coleta? Em outras palavras: quanto o consumidor economiza, em reais por litro, saindo do posto mais caro para o mais barato da sua cidade?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Em quais unidades da federação e em quais períodos o etanol hidratado foi vantajoso frente à gasolina comum, usando a regra de paridade de 70% entre os dois preços?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Existe diferença consistente de preço entre as bandeiras (BR, Ipiranga, Shell) e os postos de bandeira branca? A diferença é a mesma em todas as regiões do país?</w:t>
            </w:r>
          </w:p>
        </w:tc>
      </w:tr>
    </w:tbl>
    <w:p w:rsidR="00000000" w:rsidDel="00000000" w:rsidP="00000000" w:rsidRDefault="00000000" w:rsidRPr="00000000" w14:paraId="0000001A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bases de dados serão utilizadas?  Indique o link da sua fonte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rtl w:val="0"/>
        </w:rPr>
        <w:t>As três bases são públicas, de download livre e sem cadastro. A base principal é o Levantamento de Preços de Combustíveis da ANP, com a coleta semanal do preço praticado em postos revendedores por região, UF, município, produto, data da coleta, valor de venda e bandeira, publicada desde 2004. As outras duas entram como apoio: as vendas de derivados dão o volume mensal por UF e produto, usado para ponderar as médias de preço pelo tamanho de cada mercado; o IPCA entra como deflator, para separar alta real de combustível de inflação geral. Os arquivos da ANP também estão espelhados no Portal Brasileiro de Dados Abertos (dados.gov.br).</w:t>
      </w:r>
    </w:p>
    <w:tbl>
      <w:tblPr>
        <w:tblStyle w:val="Table2"/>
        <w:tblW w:w="871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  <w:tblLayout w:type="fixed"/>
        <w:tblW w:type="dxa" w:w="9072"/>
      </w:tblPr>
      <w:tblGrid>
        <w:gridCol w:w="4104"/>
        <w:gridCol w:w="4968"/>
        <w:tblGridChange w:id="0">
          <w:tblGrid>
            <w:gridCol w:w="2764"/>
            <w:gridCol w:w="5953"/>
          </w:tblGrid>
        </w:tblGridChange>
      </w:tblGrid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D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Base de dados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1E">
            <w:pPr>
              <w:pStyle w:val="Heading1"/>
              <w:rPr>
                <w:rFonts w:ascii="Calibri" w:cs="Calibri" w:eastAsia="Calibri" w:hAnsi="Calibri"/>
                <w:sz w:val="24"/>
                <w:szCs w:val="24"/>
                <w:u w:val="none"/>
              </w:rPr>
            </w:pPr>
            <w:bookmarkStart w:colFirst="0" w:colLast="0" w:name="_heading=h.wjs3yv5xyvfr" w:id="0"/>
            <w:bookmarkEnd w:id="0"/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u w:val="none"/>
                <w:rtl w:val="0"/>
              </w:rPr>
              <w:t xml:space="preserve">Link público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F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Série histórica de preços de combustíveis (Levantamento de Preços). Base principal.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0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https://www.gov.br/anp/pt-br/centrais-de-conteudo/dados-abertos/serie-historica-de-precos-de-combustiveis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1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Vendas de derivados de petróleo e etanol. Base de apoio (volume por UF e produto).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2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https://www.gov.br/anp/pt-br/centrais-de-conteudo/dados-abertos/vendas-de-derivados-de-petroleo-e-etanol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3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IBGE / SIDRA - IPCA, tabela 1737. Base de apoio (deflator dos preços).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4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https://sidra.ibge.gov.br/tabela/1737</w:t>
            </w:r>
          </w:p>
        </w:tc>
      </w:tr>
    </w:tbl>
    <w:sectPr>
      <w:headerReference r:id="rId7" w:type="default"/>
      <w:pgSz w:h="16838" w:w="11906" w:orient="portrait"/>
      <w:pgMar w:bottom="2835" w:top="1973" w:left="1134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/>
      <w:drawing>
        <wp:inline distB="19050" distT="19050" distL="19050" distR="19050">
          <wp:extent cx="449898" cy="449898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9898" cy="44989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bCs w:val="1"/>
      <w:sz w:val="40"/>
      <w:szCs w:val="40"/>
      <w:u w:val="singl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jc w:val="both"/>
    </w:pPr>
    <w:rPr>
      <w:b w:val="1"/>
      <w:b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jc w:val="center"/>
    </w:pPr>
    <w:rPr>
      <w:sz w:val="40"/>
      <w:szCs w:val="4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nhideWhenUsed w:val="1"/>
    <w:rsid w:val="00EB73E1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EB73E1"/>
  </w:style>
  <w:style w:type="paragraph" w:styleId="Rodap">
    <w:name w:val="footer"/>
    <w:basedOn w:val="Normal"/>
    <w:link w:val="RodapChar"/>
    <w:uiPriority w:val="99"/>
    <w:unhideWhenUsed w:val="1"/>
    <w:rsid w:val="00EB73E1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EB73E1"/>
  </w:style>
  <w:style w:type="character" w:styleId="Ttulo1Char" w:customStyle="1">
    <w:name w:val="Título 1 Char"/>
    <w:basedOn w:val="Fontepargpadro"/>
    <w:link w:val="Ttulo1"/>
    <w:rsid w:val="008F0A72"/>
    <w:rPr>
      <w:rFonts w:ascii="Times New Roman" w:cs="Times New Roman" w:eastAsia="Times New Roman" w:hAnsi="Times New Roman"/>
      <w:b w:val="1"/>
      <w:bCs w:val="1"/>
      <w:sz w:val="40"/>
      <w:szCs w:val="40"/>
      <w:u w:val="single"/>
    </w:rPr>
  </w:style>
  <w:style w:type="character" w:styleId="Ttulo2Char" w:customStyle="1">
    <w:name w:val="Título 2 Char"/>
    <w:basedOn w:val="Fontepargpadro"/>
    <w:link w:val="Ttulo2"/>
    <w:rsid w:val="008F0A72"/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Ttulo3Char" w:customStyle="1">
    <w:name w:val="Título 3 Char"/>
    <w:basedOn w:val="Fontepargpadro"/>
    <w:link w:val="Ttulo3"/>
    <w:rsid w:val="008F0A72"/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character" w:styleId="Ttulo4Char" w:customStyle="1">
    <w:name w:val="Título 4 Char"/>
    <w:basedOn w:val="Fontepargpadro"/>
    <w:link w:val="Ttulo4"/>
    <w:rsid w:val="008F0A72"/>
    <w:rPr>
      <w:rFonts w:ascii="Times New Roman" w:cs="Times New Roman" w:eastAsia="Times New Roman" w:hAnsi="Times New Roman"/>
      <w:sz w:val="40"/>
      <w:szCs w:val="20"/>
    </w:rPr>
  </w:style>
  <w:style w:type="paragraph" w:styleId="Corpodetexto2">
    <w:name w:val="Body Text 2"/>
    <w:basedOn w:val="Normal"/>
    <w:link w:val="Corpodetexto2Char"/>
    <w:rsid w:val="008F0A72"/>
    <w:pPr>
      <w:jc w:val="both"/>
    </w:pPr>
    <w:rPr>
      <w:i w:val="1"/>
      <w:iCs w:val="1"/>
    </w:rPr>
  </w:style>
  <w:style w:type="character" w:styleId="Corpodetexto2Char" w:customStyle="1">
    <w:name w:val="Corpo de texto 2 Char"/>
    <w:basedOn w:val="Fontepargpadro"/>
    <w:link w:val="Corpodetexto2"/>
    <w:rsid w:val="008F0A72"/>
    <w:rPr>
      <w:rFonts w:ascii="Times New Roman" w:cs="Times New Roman" w:eastAsia="Times New Roman" w:hAnsi="Times New Roman"/>
      <w:i w:val="1"/>
      <w:iCs w:val="1"/>
      <w:sz w:val="24"/>
      <w:szCs w:val="24"/>
    </w:rPr>
  </w:style>
  <w:style w:type="paragraph" w:styleId="Corpodetexto">
    <w:name w:val="Body Text"/>
    <w:basedOn w:val="Normal"/>
    <w:link w:val="CorpodetextoChar"/>
    <w:rsid w:val="008F0A72"/>
    <w:pPr>
      <w:spacing w:line="360" w:lineRule="auto"/>
      <w:jc w:val="both"/>
    </w:pPr>
  </w:style>
  <w:style w:type="character" w:styleId="CorpodetextoChar" w:customStyle="1">
    <w:name w:val="Corpo de texto Char"/>
    <w:basedOn w:val="Fontepargpadro"/>
    <w:link w:val="Corpodetexto"/>
    <w:rsid w:val="008F0A72"/>
    <w:rPr>
      <w:rFonts w:ascii="Times New Roman" w:cs="Times New Roman" w:eastAsia="Times New Roman" w:hAnsi="Times New Roman"/>
      <w:sz w:val="24"/>
      <w:szCs w:val="24"/>
    </w:rPr>
  </w:style>
  <w:style w:type="paragraph" w:styleId="Corpodetexto3">
    <w:name w:val="Body Text 3"/>
    <w:basedOn w:val="Normal"/>
    <w:link w:val="Corpodetexto3Char"/>
    <w:rsid w:val="008F0A72"/>
    <w:pPr>
      <w:autoSpaceDE w:val="0"/>
      <w:autoSpaceDN w:val="0"/>
      <w:jc w:val="both"/>
    </w:pPr>
    <w:rPr>
      <w:sz w:val="20"/>
      <w:szCs w:val="20"/>
    </w:rPr>
  </w:style>
  <w:style w:type="character" w:styleId="Corpodetexto3Char" w:customStyle="1">
    <w:name w:val="Corpo de texto 3 Char"/>
    <w:basedOn w:val="Fontepargpadro"/>
    <w:link w:val="Corpodetexto3"/>
    <w:rsid w:val="008F0A72"/>
    <w:rPr>
      <w:rFonts w:ascii="Times New Roman" w:cs="Times New Roman" w:eastAsia="Times New Roman" w:hAnsi="Times New Roman"/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fnxgaREncAFU1xrILKeXw32z3A==">CgMxLjAyDmgud2pzM3l2NXh5dmZyOAByITFqb2JXSzlmSGYzWHNMRGd5YXlpMXpZZEFxdzZSNGJGRA==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2021-02-23T13:43:00Z</dcterms:created>
  <dc:creator>Camila Senaque Lima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0x01010064CAFD264DBE9A44AD109CF93ADA0BEA</vt:lpwstr>
  </property>
</Properties>
</file>