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4"/>
        <w:rPr>
          <w:rFonts w:ascii="Calibri" w:cs="Calibri" w:eastAsia="Calibri" w:hAnsi="Calibri"/>
          <w:b w:val="1"/>
          <w:bCs w:val="1"/>
          <w:color w:val="1155cc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36"/>
          <w:szCs w:val="36"/>
          <w:rtl w:val="0"/>
        </w:rPr>
        <w:t>Precificação de combustíveis no Brasil: evolução, diferenças regionais e dispersão de preço na revenda</w:t>
      </w:r>
    </w:p>
    <w:p w:rsidR="00000000" w:rsidDel="00000000" w:rsidP="00000000" w:rsidRDefault="00000000" w:rsidRPr="00000000" w14:paraId="00000002">
      <w:pPr>
        <w:pStyle w:val="Heading2"/>
        <w:rPr>
          <w:rFonts w:ascii="Calibri" w:cs="Calibri" w:eastAsia="Calibri" w:hAnsi="Calibri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color w:val="1155cc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>
          <w:rFonts w:ascii="Calibri" w:cs="Calibri" w:eastAsia="Calibri" w:hAnsi="Calibri"/>
          <w:color w:val="1155cc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>Inteligência de Negócio (INE) - Prof. Bruno Miranda - 2º semestre de 2026</w:t>
      </w:r>
    </w:p>
    <w:p w:rsidR="00000000" w:rsidDel="00000000" w:rsidP="00000000" w:rsidRDefault="00000000" w:rsidRPr="00000000" w14:paraId="00000005">
      <w:pPr>
        <w:jc w:val="center"/>
        <w:rPr>
          <w:rFonts w:ascii="Calibri" w:cs="Calibri" w:eastAsia="Calibri" w:hAnsi="Calibri"/>
          <w:color w:val="1155cc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</w: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rtl w:val="0"/>
        </w:rPr>
        <w:t>Claudio da Aparecida Meireles Filho (2321070) e Felipe Pereira Dutra (2321017)</w:t>
      </w:r>
    </w:p>
    <w:p w:rsidR="00000000" w:rsidDel="00000000" w:rsidP="00000000" w:rsidRDefault="00000000" w:rsidRPr="00000000" w14:paraId="00000006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spacing w:line="3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 empresa que você irá abordar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rtl w:val="0"/>
        </w:rPr>
        <w:t>O estudo é feito sobre o segmento de revenda de combustíveis no Brasil, sob a ótica das distribuidoras que disputam a bomba. As empresas observadas são as que aparecem nomeadas no campo Bandeira do levantamento de preços da ANP: as maiores distribuidoras do país - Vibra Energia (bandeira BR), Ipiranga e Raízen (bandeira Shell) - e o conjunto dos postos de bandeira branca, que não têm contrato de exclusividade com nenhuma delas.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rtl w:val="0"/>
        </w:rPr>
        <w:t>A escolha se justifica porque a ANP publica o preço coletado posto a posto com a bandeira de cada revendedor. Isso permite analisar a estratégia de preço de empresas reais, com nome e marca, sem depender de dado proprietário: a base pública já traz a informação que uma área de pricing usaria para monitorar a concorrência.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rtl w:val="0"/>
        </w:rPr>
        <w:t>O recorte é nacional, com abertura para o Distrito Federal - mercado onde a dupla mora e cujo comportamento de preço pretende comparar com o das demais unidades da federação.</w:t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Área de negócio e o tema abordado.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/>
          <w:rtl w:val="0"/>
        </w:rPr>
        <w:t xml:space="preserve">Área de negócio: </w:t>
      </w:r>
      <w:r w:rsidDel="00000000" w:rsidR="00000000" w:rsidRPr="00000000">
        <w:rPr>
          <w:rFonts w:ascii="Calibri" w:cs="Calibri" w:eastAsia="Calibri" w:hAnsi="Calibri"/>
          <w:b w:val="0"/>
          <w:rtl w:val="0"/>
        </w:rPr>
        <w:t>Precificação e Inteligência de Mercado (pricing). É a área que define o preço de bomba, acompanha o preço praticado pela concorrência em cada praça e monitora a posição competitiva da rede.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/>
          <w:rtl w:val="0"/>
        </w:rPr>
        <w:t xml:space="preserve">Tema: </w:t>
      </w:r>
      <w:r w:rsidDel="00000000" w:rsidR="00000000" w:rsidRPr="00000000">
        <w:rPr>
          <w:rFonts w:ascii="Calibri" w:cs="Calibri" w:eastAsia="Calibri" w:hAnsi="Calibri"/>
          <w:b w:val="0"/>
          <w:rtl w:val="0"/>
        </w:rPr>
        <w:t>Comportamento do preço de revenda de combustíveis no Brasil - gasolina comum, etanol hidratado e diesel S-10. O trabalho vai medir como o preço evoluiu ao longo do tempo, o quanto ele varia entre regiões e unidades da federação, qual é a dispersão de preço dentro de uma mesma cidade, em que condições o etanol se torna vantajoso frente à gasolina e se a bandeira do posto se traduz em diferença consistente de preço.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/>
          <w:rtl w:val="0"/>
        </w:rPr>
        <w:t xml:space="preserve">Por que esse tema: </w:t>
      </w:r>
      <w:r w:rsidDel="00000000" w:rsidR="00000000" w:rsidRPr="00000000">
        <w:rPr>
          <w:rFonts w:ascii="Calibri" w:cs="Calibri" w:eastAsia="Calibri" w:hAnsi="Calibri"/>
          <w:b w:val="0"/>
          <w:rtl w:val="0"/>
        </w:rPr>
        <w:t>combustível é um preço que todo consumidor acompanha e que toda rede de postos precisa decidir toda semana. A coleta da ANP é semanal, posto a posto, e está publicada desde 2004, o que dá ao projeto uma base com as três dimensões que o Power BI explora bem: geografia (região, UF e município), tempo (data da coleta) e produto/bandeira.</w:t>
      </w:r>
    </w:p>
    <w:p w:rsidR="00000000" w:rsidDel="00000000" w:rsidP="00000000" w:rsidRDefault="00000000" w:rsidRPr="00000000" w14:paraId="0000000D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Quais são as perguntas que o estudo se propõe a resolver?</w:t>
      </w:r>
    </w:p>
    <w:p w:rsidR="00000000" w:rsidDel="00000000" w:rsidP="00000000" w:rsidRDefault="00000000" w:rsidRPr="00000000" w14:paraId="0000000F">
      <w:pPr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7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65"/>
        <w:gridCol w:w="4350"/>
        <w:tblGridChange w:id="0">
          <w:tblGrid>
            <w:gridCol w:w="4365"/>
            <w:gridCol w:w="435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0">
            <w:pPr>
              <w:keepNext w:val="1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Pergunta(s) negocial (ais)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2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Como evoluiu o preço médio de revenda da gasolina comum, do etanol hidratado e do diesel S-10 no Brasil na última década, e quanto dessa alta se sustenta depois de descontada a inflação medida pelo IPCA?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Quanto o preço do mesmo produto varia entre as regiões e as unidades da federação? Qual é a distância entre a UF mais cara e a mais barata em cada ano, e em que posição desse ranking está o Distrito Federal?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6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Qual é a dispersão de preço dentro de um mesmo município na mesma semana de coleta? Em outras palavras: quanto o consumidor economiza, em reais por litro, saindo do posto mais caro para o mais barato da sua cidade?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8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Em quais unidades da federação e em quais períodos o etanol hidratado foi vantajoso frente à gasolina comum, usando a regra de paridade de 70% entre os dois preços?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8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Existe diferença consistente de preço entre as bandeiras (BR, Ipiranga, Shell) e os postos de bandeira branca? A diferença é a mesma em todas as regiões do país?</w:t>
            </w:r>
          </w:p>
        </w:tc>
      </w:tr>
    </w:tbl>
    <w:p w:rsidR="00000000" w:rsidDel="00000000" w:rsidP="00000000" w:rsidRDefault="00000000" w:rsidRPr="00000000" w14:paraId="0000001A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Quais bases de dados serão utilizadas?  Indique o link da sua fonte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Calibri" w:cs="Calibri" w:eastAsia="Calibri" w:hAnsi="Calibri"/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rtl w:val="0"/>
        </w:rPr>
        <w:t>As três bases são públicas, de download livre e sem cadastro. A base principal é o Levantamento de Preços de Combustíveis da ANP, com a coleta semanal do preço praticado em postos revendedores por região, UF, município, produto, data da coleta, valor de venda e bandeira, publicada desde 2004. As outras duas entram como apoio: as vendas de derivados de petróleo e biocombustíveis dão o volume mensal por UF e produto, usado para ponderar as médias de preço pelo tamanho de cada mercado; o IPCA entra como deflator, para separar alta real de combustível de inflação geral. Os arquivos da ANP também estão espelhados no Portal Brasileiro de Dados Abertos (dados.gov.br).</w:t>
      </w:r>
    </w:p>
    <w:tbl>
      <w:tblPr>
        <w:tblStyle w:val="Table2"/>
        <w:tblW w:w="871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  <w:tblLayout w:type="fixed"/>
        <w:tblW w:type="dxa" w:w="9072"/>
      </w:tblPr>
      <w:tblGrid>
        <w:gridCol w:w="4104"/>
        <w:gridCol w:w="4968"/>
        <w:tblGridChange w:id="0">
          <w:tblGrid>
            <w:gridCol w:w="2764"/>
            <w:gridCol w:w="5953"/>
          </w:tblGrid>
        </w:tblGridChange>
      </w:tblGrid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1D">
            <w:pPr>
              <w:keepNext w:val="1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Base de dados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1E">
            <w:pPr>
              <w:pStyle w:val="Heading1"/>
              <w:rPr>
                <w:rFonts w:ascii="Calibri" w:cs="Calibri" w:eastAsia="Calibri" w:hAnsi="Calibri"/>
                <w:sz w:val="24"/>
                <w:szCs w:val="24"/>
                <w:u w:val="none"/>
              </w:rPr>
            </w:pPr>
            <w:bookmarkStart w:colFirst="0" w:colLast="0" w:name="_heading=h.wjs3yv5xyvfr" w:id="0"/>
            <w:bookmarkEnd w:id="0"/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u w:val="none"/>
                <w:rtl w:val="0"/>
              </w:rPr>
              <w:t xml:space="preserve">Link público</w:t>
            </w:r>
          </w:p>
        </w:tc>
      </w:tr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1F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ANP - Série histórica de preços de combustíveis (Levantamento de Preços). Base principal.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20">
            <w:pPr>
              <w:keepNext w:val="1"/>
              <w:rPr>
                <w:rFonts w:ascii="Calibri" w:cs="Calibri" w:eastAsia="Calibri" w:hAnsi="Calibri"/>
              </w:rPr>
            </w:pPr>
            <w:hyperlink r:id="rId8">
              <w:r>
                <w:rPr>
                  <w:rFonts w:ascii="Calibri" w:cs="Calibri" w:eastAsia="Calibri" w:hAnsi="Calibri"/>
                  <w:bCs w:val="1"/>
                  <w:rtl w:val="0"/>
                  <w:color w:val="0563C1"/>
                  <w:u w:val="single"/>
                </w:rPr>
                <w:t>https://www.gov.br/anp/pt-br/centrais-de-conteudo/dados-abertos/serie-historica-de-precos-de-combustiveis</w:t>
              </w:r>
            </w:hyperlink>
          </w:p>
        </w:tc>
      </w:tr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21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ANP - Vendas de derivados de petróleo e biocombustíveis. Base de apoio (volume por UF e produto).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22">
            <w:pPr>
              <w:keepNext w:val="1"/>
              <w:rPr>
                <w:rFonts w:ascii="Calibri" w:cs="Calibri" w:eastAsia="Calibri" w:hAnsi="Calibri"/>
              </w:rPr>
            </w:pPr>
            <w:hyperlink r:id="rId9">
              <w:r>
                <w:rPr>
                  <w:rFonts w:ascii="Calibri" w:cs="Calibri" w:eastAsia="Calibri" w:hAnsi="Calibri"/>
                  <w:bCs w:val="1"/>
                  <w:rtl w:val="0"/>
                  <w:color w:val="0563C1"/>
                  <w:u w:val="single"/>
                </w:rPr>
                <w:t>https://www.gov.br/anp/pt-br/centrais-de-conteudo/dados-abertos/vendas-de-derivados-de-petroleo-e-biocombustiveis</w:t>
              </w:r>
            </w:hyperlink>
          </w:p>
        </w:tc>
      </w:tr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23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IBGE / SIDRA - IPCA, tabela 1737. Base de apoio (deflator dos preços).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24">
            <w:pPr>
              <w:keepNext w:val="1"/>
              <w:rPr>
                <w:rFonts w:ascii="Calibri" w:cs="Calibri" w:eastAsia="Calibri" w:hAnsi="Calibri"/>
              </w:rPr>
            </w:pPr>
            <w:hyperlink r:id="rId10">
              <w:r>
                <w:rPr>
                  <w:rFonts w:ascii="Calibri" w:cs="Calibri" w:eastAsia="Calibri" w:hAnsi="Calibri"/>
                  <w:bCs w:val="1"/>
                  <w:rtl w:val="0"/>
                  <w:color w:val="0563C1"/>
                  <w:u w:val="single"/>
                </w:rPr>
                <w:t>https://sidra.ibge.gov.br/tabela/1737</w:t>
              </w:r>
            </w:hyperlink>
          </w:p>
        </w:tc>
      </w:tr>
    </w:tbl>
    <w:sectPr>
      <w:headerReference r:id="rId7" w:type="default"/>
      <w:pgSz w:h="16838" w:w="11906" w:orient="portrait"/>
      <w:pgMar w:bottom="2835" w:top="1973" w:left="1134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/>
      <w:drawing>
        <wp:inline distB="19050" distT="19050" distL="19050" distR="19050">
          <wp:extent cx="449898" cy="449898"/>
          <wp:effectExtent b="0" l="0" r="0" t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49898" cy="44989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jc w:val="center"/>
    </w:pPr>
    <w:rPr>
      <w:b w:val="1"/>
      <w:bCs w:val="1"/>
      <w:sz w:val="40"/>
      <w:szCs w:val="40"/>
      <w:u w:val="singl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jc w:val="both"/>
    </w:pPr>
    <w:rPr>
      <w:b w:val="1"/>
      <w:b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jc w:val="center"/>
    </w:pPr>
    <w:rPr>
      <w:sz w:val="40"/>
      <w:szCs w:val="40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Cabealho">
    <w:name w:val="header"/>
    <w:basedOn w:val="Normal"/>
    <w:link w:val="CabealhoChar"/>
    <w:unhideWhenUsed w:val="1"/>
    <w:rsid w:val="00EB73E1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uiPriority w:val="99"/>
    <w:rsid w:val="00EB73E1"/>
  </w:style>
  <w:style w:type="paragraph" w:styleId="Rodap">
    <w:name w:val="footer"/>
    <w:basedOn w:val="Normal"/>
    <w:link w:val="RodapChar"/>
    <w:uiPriority w:val="99"/>
    <w:unhideWhenUsed w:val="1"/>
    <w:rsid w:val="00EB73E1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EB73E1"/>
  </w:style>
  <w:style w:type="character" w:styleId="Ttulo1Char" w:customStyle="1">
    <w:name w:val="Título 1 Char"/>
    <w:basedOn w:val="Fontepargpadro"/>
    <w:link w:val="Ttulo1"/>
    <w:rsid w:val="008F0A72"/>
    <w:rPr>
      <w:rFonts w:ascii="Times New Roman" w:cs="Times New Roman" w:eastAsia="Times New Roman" w:hAnsi="Times New Roman"/>
      <w:b w:val="1"/>
      <w:bCs w:val="1"/>
      <w:sz w:val="40"/>
      <w:szCs w:val="40"/>
      <w:u w:val="single"/>
    </w:rPr>
  </w:style>
  <w:style w:type="character" w:styleId="Ttulo2Char" w:customStyle="1">
    <w:name w:val="Título 2 Char"/>
    <w:basedOn w:val="Fontepargpadro"/>
    <w:link w:val="Ttulo2"/>
    <w:rsid w:val="008F0A72"/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character" w:styleId="Ttulo3Char" w:customStyle="1">
    <w:name w:val="Título 3 Char"/>
    <w:basedOn w:val="Fontepargpadro"/>
    <w:link w:val="Ttulo3"/>
    <w:rsid w:val="008F0A72"/>
    <w:rPr>
      <w:rFonts w:ascii="Times New Roman" w:cs="Times New Roman" w:eastAsia="Times New Roman" w:hAnsi="Times New Roman"/>
      <w:b w:val="1"/>
      <w:bCs w:val="1"/>
      <w:sz w:val="20"/>
      <w:szCs w:val="20"/>
    </w:rPr>
  </w:style>
  <w:style w:type="character" w:styleId="Ttulo4Char" w:customStyle="1">
    <w:name w:val="Título 4 Char"/>
    <w:basedOn w:val="Fontepargpadro"/>
    <w:link w:val="Ttulo4"/>
    <w:rsid w:val="008F0A72"/>
    <w:rPr>
      <w:rFonts w:ascii="Times New Roman" w:cs="Times New Roman" w:eastAsia="Times New Roman" w:hAnsi="Times New Roman"/>
      <w:sz w:val="40"/>
      <w:szCs w:val="20"/>
    </w:rPr>
  </w:style>
  <w:style w:type="paragraph" w:styleId="Corpodetexto2">
    <w:name w:val="Body Text 2"/>
    <w:basedOn w:val="Normal"/>
    <w:link w:val="Corpodetexto2Char"/>
    <w:rsid w:val="008F0A72"/>
    <w:pPr>
      <w:jc w:val="both"/>
    </w:pPr>
    <w:rPr>
      <w:i w:val="1"/>
      <w:iCs w:val="1"/>
    </w:rPr>
  </w:style>
  <w:style w:type="character" w:styleId="Corpodetexto2Char" w:customStyle="1">
    <w:name w:val="Corpo de texto 2 Char"/>
    <w:basedOn w:val="Fontepargpadro"/>
    <w:link w:val="Corpodetexto2"/>
    <w:rsid w:val="008F0A72"/>
    <w:rPr>
      <w:rFonts w:ascii="Times New Roman" w:cs="Times New Roman" w:eastAsia="Times New Roman" w:hAnsi="Times New Roman"/>
      <w:i w:val="1"/>
      <w:iCs w:val="1"/>
      <w:sz w:val="24"/>
      <w:szCs w:val="24"/>
    </w:rPr>
  </w:style>
  <w:style w:type="paragraph" w:styleId="Corpodetexto">
    <w:name w:val="Body Text"/>
    <w:basedOn w:val="Normal"/>
    <w:link w:val="CorpodetextoChar"/>
    <w:rsid w:val="008F0A72"/>
    <w:pPr>
      <w:spacing w:line="360" w:lineRule="auto"/>
      <w:jc w:val="both"/>
    </w:pPr>
  </w:style>
  <w:style w:type="character" w:styleId="CorpodetextoChar" w:customStyle="1">
    <w:name w:val="Corpo de texto Char"/>
    <w:basedOn w:val="Fontepargpadro"/>
    <w:link w:val="Corpodetexto"/>
    <w:rsid w:val="008F0A72"/>
    <w:rPr>
      <w:rFonts w:ascii="Times New Roman" w:cs="Times New Roman" w:eastAsia="Times New Roman" w:hAnsi="Times New Roman"/>
      <w:sz w:val="24"/>
      <w:szCs w:val="24"/>
    </w:rPr>
  </w:style>
  <w:style w:type="paragraph" w:styleId="Corpodetexto3">
    <w:name w:val="Body Text 3"/>
    <w:basedOn w:val="Normal"/>
    <w:link w:val="Corpodetexto3Char"/>
    <w:rsid w:val="008F0A72"/>
    <w:pPr>
      <w:autoSpaceDE w:val="0"/>
      <w:autoSpaceDN w:val="0"/>
      <w:jc w:val="both"/>
    </w:pPr>
    <w:rPr>
      <w:sz w:val="20"/>
      <w:szCs w:val="20"/>
    </w:rPr>
  </w:style>
  <w:style w:type="character" w:styleId="Corpodetexto3Char" w:customStyle="1">
    <w:name w:val="Corpo de texto 3 Char"/>
    <w:basedOn w:val="Fontepargpadro"/>
    <w:link w:val="Corpodetexto3"/>
    <w:rsid w:val="008F0A72"/>
    <w:rPr>
      <w:rFonts w:ascii="Times New Roman" w:cs="Times New Roman" w:eastAsia="Times New Roman" w:hAnsi="Times New Roman"/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yperlink" Target="https://www.gov.br/anp/pt-br/centrais-de-conteudo/dados-abertos/serie-historica-de-precos-de-combustiveis" TargetMode="External"/><Relationship Id="rId9" Type="http://schemas.openxmlformats.org/officeDocument/2006/relationships/hyperlink" Target="https://www.gov.br/anp/pt-br/centrais-de-conteudo/dados-abertos/vendas-de-derivados-de-petroleo-e-biocombustiveis" TargetMode="External"/><Relationship Id="rId10" Type="http://schemas.openxmlformats.org/officeDocument/2006/relationships/hyperlink" Target="https://sidra.ibge.gov.br/tabela/1737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fnxgaREncAFU1xrILKeXw32z3A==">CgMxLjAyDmgud2pzM3l2NXh5dmZyOAByITFqb2JXSzlmSGYzWHNMRGd5YXlpMXpZZEFxdzZSNGJGRA==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2021-02-23T13:43:00Z</dcterms:created>
  <dc:creator>Camila Senaque Lima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0x01010064CAFD264DBE9A44AD109CF93ADA0BEA</vt:lpwstr>
  </property>
</Properties>
</file>