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9050" distT="19050" distL="19050" distR="19050">
            <wp:extent cx="716288" cy="71628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288" cy="716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66b3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66b3"/>
          <w:sz w:val="64"/>
          <w:szCs w:val="64"/>
          <w:u w:val="none"/>
          <w:shd w:fill="auto" w:val="clear"/>
          <w:vertAlign w:val="baseline"/>
          <w:rtl w:val="0"/>
        </w:rPr>
        <w:t xml:space="preserve">Atividade Avaliativa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36"/>
          <w:szCs w:val="36"/>
          <w:rtl w:val="0"/>
        </w:rPr>
        <w:t xml:space="preserve">Inteligência de Negócio (INE)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efefef" w:space="0" w:sz="4" w:val="single"/>
          <w:left w:color="efefef" w:space="0" w:sz="4" w:val="single"/>
          <w:bottom w:color="efefef" w:space="0" w:sz="4" w:val="single"/>
          <w:right w:color="efefef" w:space="0" w:sz="4" w:val="single"/>
          <w:insideH w:color="efefef" w:space="0" w:sz="4" w:val="single"/>
          <w:insideV w:color="efefef" w:space="0" w:sz="4" w:val="single"/>
        </w:tblBorders>
        <w:tblLayout w:type="fixed"/>
        <w:tblLook w:val="0600"/>
      </w:tblPr>
      <w:tblGrid>
        <w:gridCol w:w="2745"/>
        <w:gridCol w:w="6255"/>
        <w:tblGridChange w:id="0">
          <w:tblGrid>
            <w:gridCol w:w="2745"/>
            <w:gridCol w:w="62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Disciplina: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66b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Inteligência de Negócio (INE)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Professor: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Bruno Miranda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atividade: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widowControl w:val="0"/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0"/>
                <w:iCs w:val="1"/>
                <w:color w:val="000000"/>
                <w:sz w:val="20"/>
                <w:szCs w:val="20"/>
                <w:rtl w:val="0"/>
              </w:rPr>
              <w:t>DataLab 8-B2 - Mercado de trabalho em TI no Brasil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Semestre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color w:val="000000"/>
                <w:sz w:val="20"/>
                <w:szCs w:val="20"/>
                <w:rtl w:val="0"/>
              </w:rPr>
              <w:t>2° semestre de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Departamento / Curso: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Ciência da Computação / Engenharia de Software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98.0" w:type="dxa"/>
        <w:jc w:val="left"/>
        <w:tblBorders>
          <w:top w:color="efefef" w:space="0" w:sz="4" w:val="single"/>
          <w:left w:color="efefef" w:space="0" w:sz="4" w:val="single"/>
          <w:bottom w:color="efefef" w:space="0" w:sz="4" w:val="single"/>
          <w:right w:color="efefef" w:space="0" w:sz="4" w:val="single"/>
          <w:insideH w:color="efefef" w:space="0" w:sz="4" w:val="single"/>
          <w:insideV w:color="efefef" w:space="0" w:sz="4" w:val="single"/>
        </w:tblBorders>
        <w:tblLayout w:type="fixed"/>
        <w:tblLook w:val="0600"/>
      </w:tblPr>
      <w:tblGrid>
        <w:gridCol w:w="2145"/>
        <w:gridCol w:w="6853"/>
        <w:tblGridChange w:id="0">
          <w:tblGrid>
            <w:gridCol w:w="2145"/>
            <w:gridCol w:w="68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aluno: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Claudio da Aparecida Meireles Filho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Matrícula: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2321070</w:t>
            </w:r>
          </w:p>
        </w:tc>
      </w:tr>
    </w:tbl>
    <w:p w:rsidR="00000000" w:rsidDel="00000000" w:rsidP="00000000" w:rsidRDefault="00000000" w:rsidRPr="00000000" w14:paraId="00000029">
      <w:pPr>
        <w:rPr/>
        <w:sectPr>
          <w:headerReference r:id="rId8" w:type="default"/>
          <w:footerReference r:id="rId9" w:type="default"/>
          <w:pgSz w:h="16838" w:w="11906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>
      <w:pPr>
        <w:keepNext/>
        <w:widowControl/>
        <w:spacing w:after="280" w:line="278" w:lineRule="auto"/>
        <w:jc w:val="both"/>
      </w:pPr>
      <w:r>
        <w:rPr>
          <w:rFonts w:ascii="Arial" w:hAnsi="Arial"/>
          <w:b/>
          <w:color w:val="000000"/>
          <w:sz w:val="28"/>
        </w:rPr>
        <w:t>1. Solução do DataLab</w:t>
      </w:r>
    </w:p>
    <w:p>
      <w:pPr>
        <w:widowControl/>
        <w:spacing w:after="160" w:line="278" w:lineRule="auto"/>
        <w:jc w:val="both"/>
      </w:pPr>
      <w:r>
        <w:rPr>
          <w:rFonts w:ascii="Arial" w:hAnsi="Arial"/>
          <w:b w:val="0"/>
          <w:color w:val="000000"/>
          <w:sz w:val="23"/>
        </w:rPr>
        <w:t>O trabalho analisa a pesquisa salarial APINFO 2025. O dataset foi construído com as tabelas do Brasil, de São Paulo, do Rio de Janeiro e de Minas Gerais. As cinco páginas seguintes respondem às perguntas do enunciado, com valores mensais nominais, nome e matrícula em todas elas.</w:t>
      </w:r>
    </w:p>
    <w:p>
      <w:pPr>
        <w:keepNext/>
        <w:spacing w:after="80"/>
        <w:jc w:val="center"/>
      </w:pPr>
      <w:r>
        <w:drawing>
          <wp:inline>
            <wp:extent cx="5669280" cy="41385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tratamento_datas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38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 w:line="278" w:lineRule="auto"/>
        <w:jc w:val="center"/>
      </w:pPr>
      <w:r>
        <w:rPr>
          <w:rFonts w:ascii="Arial" w:hAnsi="Arial"/>
          <w:b w:val="0"/>
          <w:color w:val="000000"/>
          <w:sz w:val="18"/>
        </w:rPr>
        <w:t>Figura 1 - Evidência do tratamento: recortes reais do HTML de origem e do CSV gerado.</w:t>
      </w:r>
    </w:p>
    <w:p>
      <w:pPr>
        <w:widowControl/>
        <w:spacing w:after="160" w:line="278" w:lineRule="auto"/>
        <w:jc w:val="both"/>
      </w:pPr>
      <w:r>
        <w:rPr>
          <w:rFonts w:ascii="Arial" w:hAnsi="Arial"/>
          <w:b w:val="0"/>
          <w:color w:val="000000"/>
          <w:sz w:val="23"/>
        </w:rPr>
        <w:t>A base final tem 664 linhas: 83 perfis profissionais, quatro localidades e dois vínculos. São 656 valores publicados e oito ausentes. Os campos vazios foram mantidos como nulos. Nenhum salário foi estimado ou preenchido com zero.</w:t>
      </w:r>
    </w:p>
    <w:p>
      <w:pPr>
        <w:widowControl/>
        <w:spacing w:after="160" w:line="278" w:lineRule="auto"/>
        <w:jc w:val="both"/>
      </w:pPr>
      <w:r>
        <w:rPr>
          <w:rFonts w:ascii="Arial" w:hAnsi="Arial"/>
          <w:b w:val="0"/>
          <w:color w:val="000000"/>
          <w:sz w:val="23"/>
        </w:rPr>
        <w:t>Os HTMLs originais, o CSV tratado, os indicadores e os scripts acompanham a entrega. O dashboard foi gerado em Python e exportado em PDF, com uma versão HTML para navegar pelas páginas. As imagens são saídas do código executado.</w:t>
      </w:r>
    </w:p>
    <w:p>
      <w:pPr>
        <w:sectPr>
          <w:headerReference r:id="rId10" w:type="default"/>
          <w:footerReference r:id="rId11" w:type="default"/>
          <w:type w:val="nextPage"/>
          <w:pgSz w:h="16838" w:w="11906" w:orient="portrait"/>
          <w:pgMar w:bottom="1440" w:top="1723" w:left="1440" w:right="1440" w:header="1440" w:footer="720"/>
        </w:sectPr>
      </w:pPr>
    </w:p>
    <w:p>
      <w:pPr>
        <w:keepNext/>
        <w:spacing w:after="80"/>
        <w:jc w:val="center"/>
      </w:pPr>
      <w:r>
        <w:drawing>
          <wp:inline>
            <wp:extent cx="9464040" cy="53235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edia_bras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5323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 w:line="278" w:lineRule="auto"/>
        <w:jc w:val="center"/>
      </w:pPr>
      <w:r>
        <w:rPr>
          <w:rFonts w:ascii="Arial" w:hAnsi="Arial"/>
          <w:b w:val="0"/>
          <w:color w:val="000000"/>
          <w:sz w:val="18"/>
        </w:rPr>
        <w:t>Figura 2 - Página 1 do dashboard. A - Média simples das referências nacionais publicadas.</w:t>
      </w:r>
    </w:p>
    <w:p>
      <w:r>
        <w:br w:type="page"/>
      </w:r>
    </w:p>
    <w:p>
      <w:pPr>
        <w:keepNext/>
        <w:spacing w:after="80"/>
        <w:jc w:val="center"/>
      </w:pPr>
      <w:r>
        <w:drawing>
          <wp:inline>
            <wp:extent cx="9464040" cy="53235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rgo_destaqu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5323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 w:line="278" w:lineRule="auto"/>
        <w:jc w:val="center"/>
      </w:pPr>
      <w:r>
        <w:rPr>
          <w:rFonts w:ascii="Arial" w:hAnsi="Arial"/>
          <w:b w:val="0"/>
          <w:color w:val="000000"/>
          <w:sz w:val="18"/>
        </w:rPr>
        <w:t>Figura 3 - Página 2 do dashboard. B - Remuneração por cargo e vínculo na tabela Brasil.</w:t>
      </w:r>
    </w:p>
    <w:p>
      <w:r>
        <w:br w:type="page"/>
      </w:r>
    </w:p>
    <w:p>
      <w:pPr>
        <w:keepNext/>
        <w:spacing w:after="80"/>
        <w:jc w:val="center"/>
      </w:pPr>
      <w:r>
        <w:drawing>
          <wp:inline>
            <wp:extent cx="9464040" cy="53235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lt_pj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5323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 w:line="278" w:lineRule="auto"/>
        <w:jc w:val="center"/>
      </w:pPr>
      <w:r>
        <w:rPr>
          <w:rFonts w:ascii="Arial" w:hAnsi="Arial"/>
          <w:b w:val="0"/>
          <w:color w:val="000000"/>
          <w:sz w:val="18"/>
        </w:rPr>
        <w:t>Figura 4 - Página 3 do dashboard. C - Ganho percentual PJ/CLT com comparação entre perfis equivalentes.</w:t>
      </w:r>
    </w:p>
    <w:p>
      <w:r>
        <w:br w:type="page"/>
      </w:r>
    </w:p>
    <w:p>
      <w:pPr>
        <w:keepNext/>
        <w:spacing w:after="80"/>
        <w:jc w:val="center"/>
      </w:pPr>
      <w:r>
        <w:drawing>
          <wp:inline>
            <wp:extent cx="9464040" cy="532352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xtrem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5323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 w:line="278" w:lineRule="auto"/>
        <w:jc w:val="center"/>
      </w:pPr>
      <w:r>
        <w:rPr>
          <w:rFonts w:ascii="Arial" w:hAnsi="Arial"/>
          <w:b w:val="0"/>
          <w:color w:val="000000"/>
          <w:sz w:val="18"/>
        </w:rPr>
        <w:t>Figura 5 - Página 4 do dashboard. D - Extremos publicados na tabela Brasil, com a bolsa de estágio identificada.</w:t>
      </w:r>
    </w:p>
    <w:p>
      <w:r>
        <w:br w:type="page"/>
      </w:r>
    </w:p>
    <w:p>
      <w:pPr>
        <w:keepNext/>
        <w:spacing w:after="80"/>
        <w:jc w:val="center"/>
      </w:pPr>
      <w:r>
        <w:drawing>
          <wp:inline>
            <wp:extent cx="9464040" cy="53235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mparativo_estad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5323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 w:line="278" w:lineRule="auto"/>
        <w:jc w:val="center"/>
      </w:pPr>
      <w:r>
        <w:rPr>
          <w:rFonts w:ascii="Arial" w:hAnsi="Arial"/>
          <w:b w:val="0"/>
          <w:color w:val="000000"/>
          <w:sz w:val="18"/>
        </w:rPr>
        <w:t>Figura 6 - Página 5 do dashboard. E - Salários nominais de quatro cargos em SP, RJ e MG comparados ao Brasil.</w:t>
      </w:r>
    </w:p>
    <w:p>
      <w:pPr>
        <w:sectPr>
          <w:headerReference w:type="default" r:id="rId13"/>
          <w:footerReference w:type="default" r:id="rId14"/>
          <w:pgSz w:h="11906" w:w="16838" w:orient="landscape"/>
          <w:pgMar w:bottom="936" w:top="936" w:left="936" w:right="936" w:header="360" w:footer="360"/>
        </w:sectPr>
      </w:pPr>
    </w:p>
    <w:p>
      <w:pPr>
        <w:keepNext/>
        <w:widowControl/>
        <w:spacing w:after="280" w:line="278" w:lineRule="auto"/>
        <w:jc w:val="both"/>
      </w:pPr>
      <w:r>
        <w:rPr>
          <w:rFonts w:ascii="Arial" w:hAnsi="Arial"/>
          <w:b/>
          <w:color w:val="000000"/>
          <w:sz w:val="28"/>
        </w:rPr>
        <w:t>2. Descrição técnica do laboratório</w:t>
      </w:r>
    </w:p>
    <w:p>
      <w:pPr>
        <w:widowControl/>
        <w:spacing w:after="160" w:line="278" w:lineRule="auto"/>
        <w:jc w:val="both"/>
      </w:pPr>
      <w:r>
        <w:rPr>
          <w:rFonts w:ascii="Arial" w:hAnsi="Arial"/>
          <w:b w:val="0"/>
          <w:color w:val="000000"/>
          <w:sz w:val="23"/>
        </w:rPr>
        <w:t>Usei a edição de 2025 da pesquisa APINFO, realizada pela internet entre agosto e setembro daquele ano e com 26.174 participantes. A própria fonte informa maior concentração no Sudeste e no Sul. A consulta às tabelas foi feita em 24/10/2026. O ano da consulta não altera o período dos salários analisados.</w:t>
      </w:r>
    </w:p>
    <w:p>
      <w:pPr>
        <w:keepNext/>
        <w:widowControl/>
        <w:spacing w:after="160" w:line="278" w:lineRule="auto"/>
        <w:jc w:val="both"/>
      </w:pPr>
      <w:r>
        <w:rPr>
          <w:rFonts w:ascii="Arial" w:hAnsi="Arial"/>
          <w:b/>
          <w:color w:val="000000"/>
          <w:sz w:val="23"/>
        </w:rPr>
        <w:t>A. Qual foi o objetivo do DataLab?</w:t>
      </w:r>
    </w:p>
    <w:p>
      <w:pPr>
        <w:widowControl/>
        <w:spacing w:after="160" w:line="278" w:lineRule="auto"/>
        <w:jc w:val="both"/>
      </w:pPr>
      <w:r>
        <w:rPr>
          <w:rFonts w:ascii="Arial" w:hAnsi="Arial"/>
          <w:b w:val="0"/>
          <w:color w:val="000000"/>
          <w:sz w:val="23"/>
        </w:rPr>
        <w:t>Construir uma base de dados a partir das tabelas da APINFO e transformá-la em um dashboard que permita comparar remuneração nacional, cargos, vínculos e estados. Escolhi São Paulo, Rio de Janeiro e Minas Gerais porque as três tabelas publicam os mesmos perfis da comparação, permitindo manter cargo e vínculo constantes.</w:t>
      </w:r>
    </w:p>
    <w:p>
      <w:pPr>
        <w:keepNext/>
        <w:widowControl/>
        <w:spacing w:after="160" w:line="278" w:lineRule="auto"/>
        <w:jc w:val="both"/>
      </w:pPr>
      <w:r>
        <w:rPr>
          <w:rFonts w:ascii="Arial" w:hAnsi="Arial"/>
          <w:b/>
          <w:color w:val="000000"/>
          <w:sz w:val="23"/>
        </w:rPr>
        <w:t>B. Quais foram as técnicas utilizadas?</w:t>
      </w:r>
    </w:p>
    <w:p>
      <w:pPr>
        <w:widowControl/>
        <w:spacing w:after="160" w:line="278" w:lineRule="auto"/>
        <w:jc w:val="both"/>
      </w:pPr>
      <w:r>
        <w:rPr>
          <w:rFonts w:ascii="Arial" w:hAnsi="Arial"/>
          <w:b w:val="0"/>
          <w:color w:val="000000"/>
          <w:sz w:val="23"/>
        </w:rPr>
        <w:t>Extração e organização: o script localiza a tabela com as colunas Cargo, Especialidade, CLT e PJ, preserva os arquivos HTML e reorganiza os dados no formato longo. Cada linha representa um perfil, uma localidade e um vínculo em 2025. A chave considera ano, UF, perfil e vínculo. Brasil é uma referência nacional e nunca é somado aos estados.</w:t>
      </w:r>
    </w:p>
    <w:p>
      <w:pPr>
        <w:widowControl/>
        <w:spacing w:after="160" w:line="278" w:lineRule="auto"/>
        <w:jc w:val="both"/>
      </w:pPr>
      <w:r>
        <w:rPr>
          <w:rFonts w:ascii="Arial" w:hAnsi="Arial"/>
          <w:b w:val="0"/>
          <w:color w:val="000000"/>
          <w:sz w:val="23"/>
        </w:rPr>
        <w:t>Tratamento: removi espaços excedentes, converti o ponto de milhar para número e mantive campos ausentes como nulos. Corrigi somente as grafias Phyton para Python e Java Script para JavaScript, preservando os textos originais em outras colunas. A linha Estagiário recebeu a natureza bolsa_estagio, mesmo quando publicada na coluna CLT da fonte.</w:t>
      </w:r>
    </w:p>
    <w:p>
      <w:pPr>
        <w:widowControl/>
        <w:spacing w:after="160" w:line="278" w:lineRule="auto"/>
        <w:jc w:val="both"/>
      </w:pPr>
      <w:r>
        <w:rPr>
          <w:rFonts w:ascii="Arial" w:hAnsi="Arial"/>
          <w:b w:val="0"/>
          <w:color w:val="000000"/>
          <w:sz w:val="23"/>
        </w:rPr>
        <w:t>Agregações: a média nacional é a soma dos 164 valores válidos da tabela Brasil dividida por 164. Ela inclui a bolsa publicada, com uma segunda média que a exclui. O ranking de cargos usa a média simples entre CLT e PJ para cada perfil com ambos os valores. Para a diferença de contratação, calculei (PJ / CLT - 1) × 100 por perfil e depois a média dos 81 percentuais.</w:t>
      </w:r>
    </w:p>
    <w:p>
      <w:pPr>
        <w:widowControl/>
        <w:spacing w:after="160" w:line="278" w:lineRule="auto"/>
        <w:jc w:val="both"/>
      </w:pPr>
      <w:r>
        <w:rPr>
          <w:rFonts w:ascii="Arial" w:hAnsi="Arial"/>
          <w:b w:val="0"/>
          <w:color w:val="000000"/>
          <w:sz w:val="23"/>
        </w:rPr>
        <w:t>Comparação regional: selecionei Gerente de TI, Cientista de dados, Analista Cibersegurança e Engenheiro de dados. Para cada cargo e vínculo, calculei (valor do estado / valor do Brasil - 1) × 100. O resultado reúne 24 comparações, sem misturar CLT com PJ ou cargos diferentes.</w:t>
      </w:r>
    </w:p>
    <w:p>
      <w:pPr>
        <w:widowControl/>
        <w:spacing w:after="160" w:line="278" w:lineRule="auto"/>
        <w:jc w:val="both"/>
      </w:pPr>
      <w:r>
        <w:rPr>
          <w:rFonts w:ascii="Arial" w:hAnsi="Arial"/>
          <w:b w:val="0"/>
          <w:color w:val="000000"/>
          <w:sz w:val="23"/>
        </w:rPr>
        <w:t>Validação: conferi a quantidade de linhas, a unicidade das chaves, os campos ausentes e a positividade dos valores. Os resultados do dashboard são recalculados a partir do CSV. A tabela pública não informa quantos respondentes compõem cada perfil e vínculo; por isso, não apliquei pesos nem estimei média salarial dos trabalhadores.</w:t>
      </w:r>
    </w:p>
    <w:p>
      <w:r>
        <w:br w:type="page"/>
      </w:r>
    </w:p>
    <w:p>
      <w:pPr>
        <w:keepNext/>
        <w:widowControl/>
        <w:spacing w:after="280" w:line="278" w:lineRule="auto"/>
        <w:jc w:val="both"/>
      </w:pPr>
      <w:r>
        <w:rPr>
          <w:rFonts w:ascii="Arial" w:hAnsi="Arial"/>
          <w:b/>
          <w:color w:val="000000"/>
          <w:sz w:val="28"/>
        </w:rPr>
        <w:t>Resultados e aprendizado</w:t>
      </w:r>
    </w:p>
    <w:p>
      <w:pPr>
        <w:keepNext/>
        <w:widowControl/>
        <w:spacing w:after="160" w:line="278" w:lineRule="auto"/>
        <w:jc w:val="both"/>
      </w:pPr>
      <w:r>
        <w:rPr>
          <w:rFonts w:ascii="Arial" w:hAnsi="Arial"/>
          <w:b/>
          <w:color w:val="000000"/>
          <w:sz w:val="23"/>
        </w:rPr>
        <w:t>C. O que você aprendeu?</w:t>
      </w:r>
    </w:p>
    <w:p>
      <w:pPr>
        <w:widowControl/>
        <w:spacing w:after="160" w:line="278" w:lineRule="auto"/>
        <w:jc w:val="both"/>
      </w:pPr>
      <w:r>
        <w:rPr>
          <w:rFonts w:ascii="Arial" w:hAnsi="Arial"/>
          <w:b w:val="0"/>
          <w:color w:val="000000"/>
          <w:sz w:val="23"/>
        </w:rPr>
        <w:t>A média simples da base nacional ficou em R$ 8.535,48. Excluindo a bolsa de estágio, ela passa para R$ 8.577,07. A diferença mostra por que a definição da base precisa acompanhar o indicador: o valor representa referências publicadas, e não uma amostra de salários individuais disponível para recalcular a média dos participantes.</w:t>
      </w:r>
    </w:p>
    <w:p>
      <w:pPr>
        <w:widowControl/>
        <w:spacing w:after="160" w:line="278" w:lineRule="auto"/>
        <w:jc w:val="both"/>
      </w:pPr>
      <w:r>
        <w:rPr>
          <w:rFonts w:ascii="Arial" w:hAnsi="Arial"/>
          <w:b w:val="0"/>
          <w:color w:val="000000"/>
          <w:sz w:val="23"/>
        </w:rPr>
        <w:t>Gerente de TI é o cargo de maior remuneração nos dois vínculos: R$ 18.803 na coluna CLT e R$ 21.007 na PJ. A média simples entre os dois valores é R$ 19.905. Cientista de dados vem em seguida no ranking pareado, com R$ 16.423,50.</w:t>
      </w:r>
    </w:p>
    <w:p>
      <w:pPr>
        <w:widowControl/>
        <w:spacing w:after="160" w:line="278" w:lineRule="auto"/>
        <w:jc w:val="both"/>
      </w:pPr>
      <w:r>
        <w:rPr>
          <w:rFonts w:ascii="Arial" w:hAnsi="Arial"/>
          <w:b w:val="0"/>
          <w:color w:val="000000"/>
          <w:sz w:val="23"/>
        </w:rPr>
        <w:t>O ganho percentual médio do PJ sobre o CLT foi de 27,53%, calculado sobre 81 pares. A variação percentual entre a média PJ e a média CLT dos mesmos perfis é 27,29%, que é outra medida. A comparação descreve os valores mensais publicados e não permite concluir qual contratação deixa mais renda líquida, pois não equaliza benefícios, impostos ou períodos sem faturamento.</w:t>
      </w:r>
    </w:p>
    <w:p>
      <w:pPr>
        <w:widowControl/>
        <w:spacing w:after="160" w:line="278" w:lineRule="auto"/>
        <w:jc w:val="both"/>
      </w:pPr>
      <w:r>
        <w:rPr>
          <w:rFonts w:ascii="Arial" w:hAnsi="Arial"/>
          <w:b w:val="0"/>
          <w:color w:val="000000"/>
          <w:sz w:val="23"/>
        </w:rPr>
        <w:t>Na tabela Brasil, o maior valor é R$ 21.007, de Gerente de TI PJ. O menor é R$ 1.757, da bolsa de Estagiário. Sem estágio, o menor é R$ 2.047, de Assistente de Informática CLT. Considerando também os três estados coletados, os extremos são R$ 22.185 em SP, para Gerente de TI PJ, e R$ 1.555 em MG, para a bolsa de Estagiário. Não são máximos e mínimos de salários individuais.</w:t>
      </w:r>
    </w:p>
    <w:p>
      <w:pPr>
        <w:widowControl/>
        <w:spacing w:after="160" w:line="278" w:lineRule="auto"/>
        <w:jc w:val="both"/>
      </w:pPr>
      <w:r>
        <w:rPr>
          <w:rFonts w:ascii="Arial" w:hAnsi="Arial"/>
          <w:b w:val="0"/>
          <w:color w:val="000000"/>
          <w:sz w:val="23"/>
        </w:rPr>
        <w:t>Nos quatro cargos e dois vínculos escolhidos, São Paulo e Rio de Janeiro aparecem acima da referência nacional, enquanto Minas Gerais fica abaixo. Por exemplo, Gerente de TI PJ tem R$ 22.185 em SP, R$ 21.391 no RJ e R$ 19.223 em MG, diante de R$ 21.007 no Brasil. Essa leitura vale para os perfis selecionados e não deve ser generalizada para todos os trabalhadores de cada estado.</w:t>
      </w:r>
    </w:p>
    <w:p>
      <w:pPr>
        <w:widowControl/>
        <w:spacing w:after="160" w:line="278" w:lineRule="auto"/>
        <w:jc w:val="both"/>
      </w:pPr>
      <w:r>
        <w:rPr>
          <w:rFonts w:ascii="Arial" w:hAnsi="Arial"/>
          <w:b w:val="0"/>
          <w:color w:val="000000"/>
          <w:sz w:val="23"/>
        </w:rPr>
        <w:t>O principal aprendizado foi controlar a unidade de análise antes de calcular os indicadores. Perfil profissional não é quantidade de pessoas, ausência de valor não é salário zero e média de percentuais não é a mesma coisa que percentual entre médias. Essas diferenças mudam a interpretação do dashboard.</w:t>
      </w:r>
    </w:p>
    <w:p>
      <w:pPr>
        <w:keepNext/>
        <w:widowControl/>
        <w:spacing w:after="160" w:line="278" w:lineRule="auto"/>
        <w:jc w:val="both"/>
      </w:pPr>
      <w:r>
        <w:rPr>
          <w:rFonts w:ascii="Arial" w:hAnsi="Arial"/>
          <w:b/>
          <w:color w:val="000000"/>
          <w:sz w:val="23"/>
        </w:rPr>
        <w:t>Fontes dos dados</w:t>
      </w:r>
    </w:p>
    <w:p>
      <w:pPr>
        <w:widowControl/>
        <w:spacing w:after="160" w:line="278" w:lineRule="auto"/>
        <w:jc w:val="both"/>
      </w:pPr>
      <w:r>
        <w:rPr>
          <w:rFonts w:ascii="Arial" w:hAnsi="Arial"/>
          <w:b w:val="0"/>
          <w:color w:val="000000"/>
          <w:sz w:val="18"/>
        </w:rPr>
        <w:t>APINFO 2025 - Pesquisa e metodologia: https://www.apinfo2.com/apinfo/informacao/p25sumario.cfm</w:t>
      </w:r>
    </w:p>
    <w:p>
      <w:pPr>
        <w:widowControl/>
        <w:spacing w:after="160" w:line="278" w:lineRule="auto"/>
        <w:jc w:val="both"/>
      </w:pPr>
      <w:r>
        <w:rPr>
          <w:rFonts w:ascii="Arial" w:hAnsi="Arial"/>
          <w:b w:val="0"/>
          <w:color w:val="000000"/>
          <w:sz w:val="18"/>
        </w:rPr>
        <w:t>APINFO 2025 - Brasil: https://www.apinfo2.com/apinfo/informacao/p25sal-br.cfm</w:t>
      </w:r>
    </w:p>
    <w:p>
      <w:pPr>
        <w:widowControl/>
        <w:spacing w:after="160" w:line="278" w:lineRule="auto"/>
        <w:jc w:val="both"/>
      </w:pPr>
      <w:r>
        <w:rPr>
          <w:rFonts w:ascii="Arial" w:hAnsi="Arial"/>
          <w:b w:val="0"/>
          <w:color w:val="000000"/>
          <w:sz w:val="18"/>
        </w:rPr>
        <w:t>APINFO 2025 - São Paulo: https://www.apinfo2.com/apinfo/informacao/p25sal-sp.cfm</w:t>
      </w:r>
    </w:p>
    <w:p>
      <w:pPr>
        <w:widowControl/>
        <w:spacing w:after="160" w:line="278" w:lineRule="auto"/>
        <w:jc w:val="both"/>
      </w:pPr>
      <w:r>
        <w:rPr>
          <w:rFonts w:ascii="Arial" w:hAnsi="Arial"/>
          <w:b w:val="0"/>
          <w:color w:val="000000"/>
          <w:sz w:val="18"/>
        </w:rPr>
        <w:t>APINFO 2025 - Rio de Janeiro: https://www.apinfo2.com/apinfo/informacao/p25sal-rj.cfm</w:t>
      </w:r>
    </w:p>
    <w:p>
      <w:pPr>
        <w:widowControl/>
        <w:spacing w:after="160" w:line="278" w:lineRule="auto"/>
        <w:jc w:val="both"/>
      </w:pPr>
      <w:r>
        <w:rPr>
          <w:rFonts w:ascii="Arial" w:hAnsi="Arial"/>
          <w:b w:val="0"/>
          <w:color w:val="000000"/>
          <w:sz w:val="18"/>
        </w:rPr>
        <w:t>APINFO 2025 - Minas Gerais: https://www.apinfo2.com/apinfo/informacao/p25sal-mg.cfm</w:t>
      </w:r>
    </w:p>
    <w:sectPr>
      <w:headerReference w:type="default" r:id="rId20"/>
      <w:footerReference w:type="default" r:id="rId21"/>
      <w:pgSz w:h="16838" w:w="11906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ListLabel1">
    <w:name w:val="ListLabel 1"/>
    <w:qFormat w:val="1"/>
    <w:rPr>
      <w:b w:val="1"/>
      <w:sz w:val="24"/>
      <w:szCs w:val="24"/>
      <w:u w:val="none"/>
    </w:rPr>
  </w:style>
  <w:style w:type="character" w:styleId="ListLabel2">
    <w:name w:val="ListLabel 2"/>
    <w:qFormat w:val="1"/>
    <w:rPr>
      <w:u w:val="none"/>
    </w:rPr>
  </w:style>
  <w:style w:type="character" w:styleId="ListLabel3">
    <w:name w:val="ListLabel 3"/>
    <w:qFormat w:val="1"/>
    <w:rPr>
      <w:u w:val="none"/>
    </w:rPr>
  </w:style>
  <w:style w:type="character" w:styleId="ListLabel4">
    <w:name w:val="ListLabel 4"/>
    <w:qFormat w:val="1"/>
    <w:rPr>
      <w:u w:val="none"/>
    </w:rPr>
  </w:style>
  <w:style w:type="character" w:styleId="ListLabel5">
    <w:name w:val="ListLabel 5"/>
    <w:qFormat w:val="1"/>
    <w:rPr>
      <w:u w:val="none"/>
    </w:rPr>
  </w:style>
  <w:style w:type="character" w:styleId="ListLabel6">
    <w:name w:val="ListLabel 6"/>
    <w:qFormat w:val="1"/>
    <w:rPr>
      <w:u w:val="none"/>
    </w:rPr>
  </w:style>
  <w:style w:type="character" w:styleId="ListLabel7">
    <w:name w:val="ListLabel 7"/>
    <w:qFormat w:val="1"/>
    <w:rPr>
      <w:u w:val="none"/>
    </w:rPr>
  </w:style>
  <w:style w:type="character" w:styleId="ListLabel8">
    <w:name w:val="ListLabel 8"/>
    <w:qFormat w:val="1"/>
    <w:rPr>
      <w:u w:val="none"/>
    </w:rPr>
  </w:style>
  <w:style w:type="character" w:styleId="ListLabel9">
    <w:name w:val="ListLabel 9"/>
    <w:qFormat w:val="1"/>
    <w:rPr>
      <w:u w:val="none"/>
    </w:rPr>
  </w:style>
  <w:style w:type="character" w:styleId="ListLabel10">
    <w:name w:val="ListLabel 10"/>
    <w:qFormat w:val="1"/>
    <w:rPr>
      <w:b w:val="1"/>
      <w:sz w:val="24"/>
      <w:szCs w:val="24"/>
      <w:u w:val="none"/>
    </w:rPr>
  </w:style>
  <w:style w:type="character" w:styleId="ListLabel11">
    <w:name w:val="ListLabel 11"/>
    <w:qFormat w:val="1"/>
    <w:rPr>
      <w:u w:val="none"/>
    </w:rPr>
  </w:style>
  <w:style w:type="character" w:styleId="ListLabel12">
    <w:name w:val="ListLabel 12"/>
    <w:qFormat w:val="1"/>
    <w:rPr>
      <w:u w:val="none"/>
    </w:rPr>
  </w:style>
  <w:style w:type="character" w:styleId="ListLabel13">
    <w:name w:val="ListLabel 13"/>
    <w:qFormat w:val="1"/>
    <w:rPr>
      <w:u w:val="none"/>
    </w:rPr>
  </w:style>
  <w:style w:type="character" w:styleId="ListLabel14">
    <w:name w:val="ListLabel 14"/>
    <w:qFormat w:val="1"/>
    <w:rPr>
      <w:u w:val="none"/>
    </w:rPr>
  </w:style>
  <w:style w:type="character" w:styleId="ListLabel15">
    <w:name w:val="ListLabel 15"/>
    <w:qFormat w:val="1"/>
    <w:rPr>
      <w:u w:val="none"/>
    </w:rPr>
  </w:style>
  <w:style w:type="character" w:styleId="ListLabel16">
    <w:name w:val="ListLabel 16"/>
    <w:qFormat w:val="1"/>
    <w:rPr>
      <w:u w:val="none"/>
    </w:rPr>
  </w:style>
  <w:style w:type="character" w:styleId="ListLabel17">
    <w:name w:val="ListLabel 17"/>
    <w:qFormat w:val="1"/>
    <w:rPr>
      <w:u w:val="none"/>
    </w:rPr>
  </w:style>
  <w:style w:type="character" w:styleId="ListLabel18">
    <w:name w:val="ListLabel 18"/>
    <w:qFormat w:val="1"/>
    <w:rPr>
      <w:u w:val="none"/>
    </w:rPr>
  </w:style>
  <w:style w:type="character" w:styleId="ListLabel19">
    <w:name w:val="ListLabel 19"/>
    <w:qFormat w:val="1"/>
    <w:rPr>
      <w:rFonts w:ascii="Arial" w:cs="Wingdings" w:hAnsi="Arial"/>
      <w:b w:val="0"/>
      <w:sz w:val="24"/>
    </w:rPr>
  </w:style>
  <w:style w:type="character" w:styleId="ListLabel20">
    <w:name w:val="ListLabel 20"/>
    <w:qFormat w:val="1"/>
    <w:rPr>
      <w:rFonts w:cs="OpenSymbol"/>
    </w:rPr>
  </w:style>
  <w:style w:type="character" w:styleId="ListLabel21">
    <w:name w:val="ListLabel 21"/>
    <w:qFormat w:val="1"/>
    <w:rPr>
      <w:rFonts w:cs="OpenSymbol"/>
    </w:rPr>
  </w:style>
  <w:style w:type="character" w:styleId="ListLabel22">
    <w:name w:val="ListLabel 22"/>
    <w:qFormat w:val="1"/>
    <w:rPr>
      <w:rFonts w:cs="Wingdings"/>
    </w:rPr>
  </w:style>
  <w:style w:type="character" w:styleId="ListLabel23">
    <w:name w:val="ListLabel 23"/>
    <w:qFormat w:val="1"/>
    <w:rPr>
      <w:rFonts w:cs="OpenSymbol"/>
    </w:rPr>
  </w:style>
  <w:style w:type="character" w:styleId="ListLabel24">
    <w:name w:val="ListLabel 24"/>
    <w:qFormat w:val="1"/>
    <w:rPr>
      <w:rFonts w:cs="OpenSymbol"/>
    </w:rPr>
  </w:style>
  <w:style w:type="character" w:styleId="ListLabel25">
    <w:name w:val="ListLabel 25"/>
    <w:qFormat w:val="1"/>
    <w:rPr>
      <w:rFonts w:cs="Wingdings"/>
    </w:rPr>
  </w:style>
  <w:style w:type="character" w:styleId="ListLabel26">
    <w:name w:val="ListLabel 26"/>
    <w:qFormat w:val="1"/>
    <w:rPr>
      <w:rFonts w:cs="OpenSymbol"/>
    </w:rPr>
  </w:style>
  <w:style w:type="character" w:styleId="ListLabel27">
    <w:name w:val="ListLabel 27"/>
    <w:qFormat w:val="1"/>
    <w:rPr>
      <w:rFonts w:cs="OpenSymbol"/>
    </w:rPr>
  </w:style>
  <w:style w:type="character" w:styleId="NumberingSymbols">
    <w:name w:val="Numbering Symbols"/>
    <w:qFormat w:val="1"/>
    <w:rPr/>
  </w:style>
  <w:style w:type="character" w:styleId="ListLabel28">
    <w:name w:val="ListLabel 28"/>
    <w:qFormat w:val="1"/>
    <w:rPr>
      <w:b w:val="1"/>
      <w:sz w:val="24"/>
      <w:szCs w:val="24"/>
      <w:u w:val="none"/>
    </w:rPr>
  </w:style>
  <w:style w:type="character" w:styleId="ListLabel29">
    <w:name w:val="ListLabel 29"/>
    <w:qFormat w:val="1"/>
    <w:rPr>
      <w:u w:val="none"/>
    </w:rPr>
  </w:style>
  <w:style w:type="character" w:styleId="ListLabel30">
    <w:name w:val="ListLabel 30"/>
    <w:qFormat w:val="1"/>
    <w:rPr>
      <w:u w:val="none"/>
    </w:rPr>
  </w:style>
  <w:style w:type="character" w:styleId="ListLabel31">
    <w:name w:val="ListLabel 31"/>
    <w:qFormat w:val="1"/>
    <w:rPr>
      <w:u w:val="none"/>
    </w:rPr>
  </w:style>
  <w:style w:type="character" w:styleId="ListLabel32">
    <w:name w:val="ListLabel 32"/>
    <w:qFormat w:val="1"/>
    <w:rPr>
      <w:u w:val="none"/>
    </w:rPr>
  </w:style>
  <w:style w:type="character" w:styleId="ListLabel33">
    <w:name w:val="ListLabel 33"/>
    <w:qFormat w:val="1"/>
    <w:rPr>
      <w:u w:val="none"/>
    </w:rPr>
  </w:style>
  <w:style w:type="character" w:styleId="ListLabel34">
    <w:name w:val="ListLabel 34"/>
    <w:qFormat w:val="1"/>
    <w:rPr>
      <w:u w:val="none"/>
    </w:rPr>
  </w:style>
  <w:style w:type="character" w:styleId="ListLabel35">
    <w:name w:val="ListLabel 35"/>
    <w:qFormat w:val="1"/>
    <w:rPr>
      <w:u w:val="none"/>
    </w:rPr>
  </w:style>
  <w:style w:type="character" w:styleId="ListLabel36">
    <w:name w:val="ListLabel 36"/>
    <w:qFormat w:val="1"/>
    <w:rPr>
      <w:u w:val="none"/>
    </w:rPr>
  </w:style>
  <w:style w:type="character" w:styleId="ListLabel37">
    <w:name w:val="ListLabel 37"/>
    <w:qFormat w:val="1"/>
    <w:rPr>
      <w:rFonts w:cs="OpenSymbol"/>
    </w:rPr>
  </w:style>
  <w:style w:type="character" w:styleId="ListLabel38">
    <w:name w:val="ListLabel 38"/>
    <w:qFormat w:val="1"/>
    <w:rPr>
      <w:rFonts w:cs="OpenSymbol"/>
    </w:rPr>
  </w:style>
  <w:style w:type="character" w:styleId="ListLabel39">
    <w:name w:val="ListLabel 39"/>
    <w:qFormat w:val="1"/>
    <w:rPr>
      <w:rFonts w:cs="Wingdings"/>
    </w:rPr>
  </w:style>
  <w:style w:type="character" w:styleId="ListLabel40">
    <w:name w:val="ListLabel 40"/>
    <w:qFormat w:val="1"/>
    <w:rPr>
      <w:rFonts w:cs="OpenSymbol"/>
    </w:rPr>
  </w:style>
  <w:style w:type="character" w:styleId="ListLabel41">
    <w:name w:val="ListLabel 41"/>
    <w:qFormat w:val="1"/>
    <w:rPr>
      <w:rFonts w:cs="OpenSymbol"/>
    </w:rPr>
  </w:style>
  <w:style w:type="character" w:styleId="ListLabel42">
    <w:name w:val="ListLabel 42"/>
    <w:qFormat w:val="1"/>
    <w:rPr>
      <w:rFonts w:cs="Wingdings"/>
    </w:rPr>
  </w:style>
  <w:style w:type="character" w:styleId="ListLabel43">
    <w:name w:val="ListLabel 43"/>
    <w:qFormat w:val="1"/>
    <w:rPr>
      <w:rFonts w:cs="OpenSymbol"/>
    </w:rPr>
  </w:style>
  <w:style w:type="character" w:styleId="ListLabel44">
    <w:name w:val="ListLabel 44"/>
    <w:qFormat w:val="1"/>
    <w:rPr>
      <w:rFonts w:cs="OpenSymbol"/>
    </w:rPr>
  </w:style>
  <w:style w:type="character" w:styleId="ListLabel45">
    <w:name w:val="ListLabel 45"/>
    <w:qFormat w:val="1"/>
    <w:rPr>
      <w:b w:val="1"/>
      <w:sz w:val="24"/>
      <w:szCs w:val="24"/>
      <w:u w:val="none"/>
    </w:rPr>
  </w:style>
  <w:style w:type="character" w:styleId="ListLabel46">
    <w:name w:val="ListLabel 46"/>
    <w:qFormat w:val="1"/>
    <w:rPr>
      <w:u w:val="none"/>
    </w:rPr>
  </w:style>
  <w:style w:type="character" w:styleId="ListLabel47">
    <w:name w:val="ListLabel 47"/>
    <w:qFormat w:val="1"/>
    <w:rPr>
      <w:u w:val="none"/>
    </w:rPr>
  </w:style>
  <w:style w:type="character" w:styleId="ListLabel48">
    <w:name w:val="ListLabel 48"/>
    <w:qFormat w:val="1"/>
    <w:rPr>
      <w:u w:val="none"/>
    </w:rPr>
  </w:style>
  <w:style w:type="character" w:styleId="ListLabel49">
    <w:name w:val="ListLabel 49"/>
    <w:qFormat w:val="1"/>
    <w:rPr>
      <w:u w:val="none"/>
    </w:rPr>
  </w:style>
  <w:style w:type="character" w:styleId="ListLabel50">
    <w:name w:val="ListLabel 50"/>
    <w:qFormat w:val="1"/>
    <w:rPr>
      <w:u w:val="none"/>
    </w:rPr>
  </w:style>
  <w:style w:type="character" w:styleId="ListLabel51">
    <w:name w:val="ListLabel 51"/>
    <w:qFormat w:val="1"/>
    <w:rPr>
      <w:u w:val="none"/>
    </w:rPr>
  </w:style>
  <w:style w:type="character" w:styleId="ListLabel52">
    <w:name w:val="ListLabel 52"/>
    <w:qFormat w:val="1"/>
    <w:rPr>
      <w:u w:val="none"/>
    </w:rPr>
  </w:style>
  <w:style w:type="character" w:styleId="ListLabel53">
    <w:name w:val="ListLabel 53"/>
    <w:qFormat w:val="1"/>
    <w:rPr>
      <w:u w:val="none"/>
    </w:rPr>
  </w:style>
  <w:style w:type="character" w:styleId="ListLabel54">
    <w:name w:val="ListLabel 54"/>
    <w:qFormat w:val="1"/>
    <w:rPr>
      <w:rFonts w:cs="OpenSymbol"/>
    </w:rPr>
  </w:style>
  <w:style w:type="character" w:styleId="ListLabel55">
    <w:name w:val="ListLabel 55"/>
    <w:qFormat w:val="1"/>
    <w:rPr>
      <w:rFonts w:cs="OpenSymbol"/>
    </w:rPr>
  </w:style>
  <w:style w:type="character" w:styleId="ListLabel56">
    <w:name w:val="ListLabel 56"/>
    <w:qFormat w:val="1"/>
    <w:rPr>
      <w:rFonts w:cs="Wingdings"/>
    </w:rPr>
  </w:style>
  <w:style w:type="character" w:styleId="ListLabel57">
    <w:name w:val="ListLabel 57"/>
    <w:qFormat w:val="1"/>
    <w:rPr>
      <w:rFonts w:cs="OpenSymbol"/>
    </w:rPr>
  </w:style>
  <w:style w:type="character" w:styleId="ListLabel58">
    <w:name w:val="ListLabel 58"/>
    <w:qFormat w:val="1"/>
    <w:rPr>
      <w:rFonts w:cs="OpenSymbol"/>
    </w:rPr>
  </w:style>
  <w:style w:type="character" w:styleId="ListLabel59">
    <w:name w:val="ListLabel 59"/>
    <w:qFormat w:val="1"/>
    <w:rPr>
      <w:rFonts w:cs="Wingdings"/>
    </w:rPr>
  </w:style>
  <w:style w:type="character" w:styleId="ListLabel60">
    <w:name w:val="ListLabel 60"/>
    <w:qFormat w:val="1"/>
    <w:rPr>
      <w:rFonts w:cs="OpenSymbol"/>
    </w:rPr>
  </w:style>
  <w:style w:type="character" w:styleId="ListLabel61">
    <w:name w:val="ListLabel 61"/>
    <w:qFormat w:val="1"/>
    <w:rPr>
      <w:rFonts w:cs="OpenSymbol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AR PL SungtiL GB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LOnormal" w:default="1">
    <w:name w:val="LO-normal"/>
    <w:qFormat w:val="1"/>
    <w:pPr>
      <w:widowControl w:val="1"/>
      <w:bidi w:val="0"/>
      <w:jc w:val="left"/>
    </w:pPr>
    <w:rPr>
      <w:rFonts w:ascii="Arial" w:cs="Arial" w:eastAsia="Arial" w:hAnsi="Arial"/>
      <w:color w:val="auto"/>
      <w:kern w:val="0"/>
      <w:sz w:val="22"/>
      <w:szCs w:val="22"/>
      <w:lang w:bidi="hi-IN" w:eastAsia="zh-CN" w:val="pt-BR"/>
    </w:rPr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12" Type="http://schemas.openxmlformats.org/officeDocument/2006/relationships/image" Target="media/image2.png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header" Target="header4.xml"/><Relationship Id="rId21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1c0b5FyW71vHFSZnN4O9cOWnUw==">CgMxLjAyCGguZ2pkZ3hzMgloLjMwajB6bGw4AHIhMThpOG5KY2pOLXJSYnNkNm13SEZ4NE1BY1laeWFFcDFL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DataLab 8 B2 Mercado de trabalho em TI no Brasil</dc:title>
  <dc:creator>Claudio da Aparecida Meireles Filho</dc:creator>
  <dc:subject>Inteligência de Negócio - APINFO 2025</dc:subject>
</cp:coreProperties>
</file>