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righ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b w:val="1"/>
          <w:bCs w:val="1"/>
          <w:sz w:val="24"/>
          <w:szCs w:val="24"/>
        </w:rPr>
        <w:drawing>
          <wp:inline distB="19050" distT="19050" distL="19050" distR="19050">
            <wp:extent cx="716288" cy="716288"/>
            <wp:effectExtent b="0" l="0" r="0" t="0"/>
            <wp:docPr id="4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6288" cy="716288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center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center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center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center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center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center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center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center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center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center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center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66b3"/>
          <w:sz w:val="64"/>
          <w:szCs w:val="6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66b3"/>
          <w:sz w:val="64"/>
          <w:szCs w:val="64"/>
          <w:u w:val="none"/>
          <w:shd w:fill="auto" w:val="clear"/>
          <w:vertAlign w:val="baseline"/>
          <w:rtl w:val="0"/>
        </w:rPr>
        <w:t xml:space="preserve">Atividade Avaliativa</w:t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center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ff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center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sz w:val="36"/>
          <w:szCs w:val="36"/>
          <w:rtl w:val="0"/>
        </w:rPr>
        <w:t xml:space="preserve">Inteligência de Negócio (INE)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center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ff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center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ff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both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both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​</w:t>
      </w:r>
    </w:p>
    <w:p w:rsidR="00000000" w:rsidDel="00000000" w:rsidP="00000000" w:rsidRDefault="00000000" w:rsidRPr="00000000" w14:paraId="0000001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both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both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both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both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000.0" w:type="dxa"/>
        <w:jc w:val="left"/>
        <w:tblBorders>
          <w:top w:color="efefef" w:space="0" w:sz="4" w:val="single"/>
          <w:left w:color="efefef" w:space="0" w:sz="4" w:val="single"/>
          <w:bottom w:color="efefef" w:space="0" w:sz="4" w:val="single"/>
          <w:right w:color="efefef" w:space="0" w:sz="4" w:val="single"/>
          <w:insideH w:color="efefef" w:space="0" w:sz="4" w:val="single"/>
          <w:insideV w:color="efefef" w:space="0" w:sz="4" w:val="single"/>
        </w:tblBorders>
        <w:tblLayout w:type="fixed"/>
        <w:tblLook w:val="0600"/>
      </w:tblPr>
      <w:tblGrid>
        <w:gridCol w:w="2745"/>
        <w:gridCol w:w="6255"/>
        <w:tblGridChange w:id="0">
          <w:tblGrid>
            <w:gridCol w:w="2745"/>
            <w:gridCol w:w="6255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efefef" w:space="0" w:sz="4" w:val="single"/>
              <w:left w:color="efefef" w:space="0" w:sz="4" w:val="single"/>
              <w:bottom w:color="efefef" w:space="0" w:sz="4" w:val="single"/>
              <w:right w:color="efefef" w:space="0" w:sz="4" w:val="single"/>
            </w:tcBorders>
            <w:shd w:fill="auto" w:val="clear"/>
          </w:tcPr>
          <w:p w:rsidR="00000000" w:rsidDel="00000000" w:rsidP="00000000" w:rsidRDefault="00000000" w:rsidRPr="00000000" w14:paraId="0000001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Disciplina:</w:t>
            </w:r>
          </w:p>
        </w:tc>
        <w:tc>
          <w:tcPr>
            <w:tcBorders>
              <w:top w:color="efefef" w:space="0" w:sz="4" w:val="single"/>
              <w:left w:color="efefef" w:space="0" w:sz="4" w:val="single"/>
              <w:bottom w:color="efefef" w:space="0" w:sz="4" w:val="single"/>
              <w:right w:color="efefef" w:space="0" w:sz="4" w:val="single"/>
            </w:tcBorders>
            <w:shd w:fill="auto" w:val="clear"/>
          </w:tcPr>
          <w:p w:rsidR="00000000" w:rsidDel="00000000" w:rsidP="00000000" w:rsidRDefault="00000000" w:rsidRPr="00000000" w14:paraId="0000001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66b3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>Inteligência de Negócio (INE)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efefef" w:space="0" w:sz="4" w:val="single"/>
              <w:left w:color="efefef" w:space="0" w:sz="4" w:val="single"/>
              <w:bottom w:color="efefef" w:space="0" w:sz="4" w:val="single"/>
              <w:right w:color="efefef" w:space="0" w:sz="4" w:val="single"/>
            </w:tcBorders>
            <w:shd w:fill="auto" w:val="clear"/>
          </w:tcPr>
          <w:p w:rsidR="00000000" w:rsidDel="00000000" w:rsidP="00000000" w:rsidRDefault="00000000" w:rsidRPr="00000000" w14:paraId="0000001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Professor:</w:t>
            </w:r>
          </w:p>
        </w:tc>
        <w:tc>
          <w:tcPr>
            <w:tcBorders>
              <w:top w:color="efefef" w:space="0" w:sz="4" w:val="single"/>
              <w:left w:color="efefef" w:space="0" w:sz="4" w:val="single"/>
              <w:bottom w:color="efefef" w:space="0" w:sz="4" w:val="single"/>
              <w:right w:color="efefef" w:space="0" w:sz="4" w:val="single"/>
            </w:tcBorders>
            <w:shd w:fill="auto" w:val="clear"/>
          </w:tcPr>
          <w:p w:rsidR="00000000" w:rsidDel="00000000" w:rsidP="00000000" w:rsidRDefault="00000000" w:rsidRPr="00000000" w14:paraId="0000001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>Bruno Miranda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efefef" w:space="0" w:sz="4" w:val="single"/>
              <w:left w:color="efefef" w:space="0" w:sz="4" w:val="single"/>
              <w:bottom w:color="efefef" w:space="0" w:sz="4" w:val="single"/>
              <w:right w:color="efefef" w:space="0" w:sz="4" w:val="single"/>
            </w:tcBorders>
            <w:shd w:fill="auto" w:val="clear"/>
          </w:tcPr>
          <w:p w:rsidR="00000000" w:rsidDel="00000000" w:rsidP="00000000" w:rsidRDefault="00000000" w:rsidRPr="00000000" w14:paraId="0000001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Tipo de atividade:</w:t>
            </w:r>
          </w:p>
        </w:tc>
        <w:tc>
          <w:tcPr>
            <w:tcBorders>
              <w:top w:color="efefef" w:space="0" w:sz="4" w:val="single"/>
              <w:left w:color="efefef" w:space="0" w:sz="4" w:val="single"/>
              <w:bottom w:color="efefef" w:space="0" w:sz="4" w:val="single"/>
              <w:right w:color="efefef" w:space="0" w:sz="4" w:val="single"/>
            </w:tcBorders>
            <w:shd w:fill="auto" w:val="clear"/>
          </w:tcPr>
          <w:p w:rsidR="00000000" w:rsidDel="00000000" w:rsidP="00000000" w:rsidRDefault="00000000" w:rsidRPr="00000000" w14:paraId="0000001F">
            <w:pPr>
              <w:widowControl w:val="0"/>
              <w:rPr>
                <w:i w:val="1"/>
                <w:iCs w:val="1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i w:val="0"/>
                <w:iCs w:val="1"/>
                <w:color w:val="000000"/>
                <w:sz w:val="20"/>
                <w:szCs w:val="20"/>
                <w:rtl w:val="0"/>
              </w:rPr>
              <w:t>Avaliação Continuada (Pré-projeto) - Projeto Aplicado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efefef" w:space="0" w:sz="4" w:val="single"/>
              <w:left w:color="efefef" w:space="0" w:sz="4" w:val="single"/>
              <w:bottom w:color="efefef" w:space="0" w:sz="4" w:val="single"/>
              <w:right w:color="efefef" w:space="0" w:sz="4" w:val="single"/>
            </w:tcBorders>
            <w:shd w:fill="auto" w:val="clear"/>
          </w:tcPr>
          <w:p w:rsidR="00000000" w:rsidDel="00000000" w:rsidP="00000000" w:rsidRDefault="00000000" w:rsidRPr="00000000" w14:paraId="0000002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Semestre</w:t>
            </w:r>
          </w:p>
        </w:tc>
        <w:tc>
          <w:tcPr>
            <w:tcBorders>
              <w:top w:color="efefef" w:space="0" w:sz="4" w:val="single"/>
              <w:left w:color="efefef" w:space="0" w:sz="4" w:val="single"/>
              <w:bottom w:color="efefef" w:space="0" w:sz="4" w:val="single"/>
              <w:right w:color="efefef" w:space="0" w:sz="4" w:val="single"/>
            </w:tcBorders>
            <w:shd w:fill="auto" w:val="clear"/>
          </w:tcPr>
          <w:p w:rsidR="00000000" w:rsidDel="00000000" w:rsidP="00000000" w:rsidRDefault="00000000" w:rsidRPr="00000000" w14:paraId="0000002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color w:val="000000"/>
                <w:sz w:val="20"/>
                <w:szCs w:val="20"/>
                <w:rtl w:val="0"/>
              </w:rPr>
              <w:t>2° semestre de 2026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efefef" w:space="0" w:sz="4" w:val="single"/>
              <w:left w:color="efefef" w:space="0" w:sz="4" w:val="single"/>
              <w:bottom w:color="efefef" w:space="0" w:sz="4" w:val="single"/>
              <w:right w:color="efefef" w:space="0" w:sz="4" w:val="single"/>
            </w:tcBorders>
            <w:shd w:fill="auto" w:val="clear"/>
          </w:tcPr>
          <w:p w:rsidR="00000000" w:rsidDel="00000000" w:rsidP="00000000" w:rsidRDefault="00000000" w:rsidRPr="00000000" w14:paraId="0000002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Departamento / Curso:</w:t>
            </w:r>
          </w:p>
        </w:tc>
        <w:tc>
          <w:tcPr>
            <w:tcBorders>
              <w:top w:color="efefef" w:space="0" w:sz="4" w:val="single"/>
              <w:left w:color="efefef" w:space="0" w:sz="4" w:val="single"/>
              <w:bottom w:color="efefef" w:space="0" w:sz="4" w:val="single"/>
              <w:right w:color="efefef" w:space="0" w:sz="4" w:val="single"/>
            </w:tcBorders>
            <w:shd w:fill="auto" w:val="clear"/>
          </w:tcPr>
          <w:p w:rsidR="00000000" w:rsidDel="00000000" w:rsidP="00000000" w:rsidRDefault="00000000" w:rsidRPr="00000000" w14:paraId="0000002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>Ciência da Computação / Engenharia de Software</w:t>
            </w:r>
          </w:p>
        </w:tc>
      </w:tr>
    </w:tbl>
    <w:p w:rsidR="00000000" w:rsidDel="00000000" w:rsidP="00000000" w:rsidRDefault="00000000" w:rsidRPr="00000000" w14:paraId="0000002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both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8998.0" w:type="dxa"/>
        <w:jc w:val="left"/>
        <w:tblBorders>
          <w:top w:color="efefef" w:space="0" w:sz="4" w:val="single"/>
          <w:left w:color="efefef" w:space="0" w:sz="4" w:val="single"/>
          <w:bottom w:color="efefef" w:space="0" w:sz="4" w:val="single"/>
          <w:right w:color="efefef" w:space="0" w:sz="4" w:val="single"/>
          <w:insideH w:color="efefef" w:space="0" w:sz="4" w:val="single"/>
          <w:insideV w:color="efefef" w:space="0" w:sz="4" w:val="single"/>
        </w:tblBorders>
        <w:tblLayout w:type="fixed"/>
        <w:tblLook w:val="0600"/>
      </w:tblPr>
      <w:tblGrid>
        <w:gridCol w:w="2145"/>
        <w:gridCol w:w="6853"/>
        <w:tblGridChange w:id="0">
          <w:tblGrid>
            <w:gridCol w:w="2145"/>
            <w:gridCol w:w="6853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efefef" w:space="0" w:sz="4" w:val="single"/>
              <w:left w:color="efefef" w:space="0" w:sz="4" w:val="single"/>
              <w:bottom w:color="efefef" w:space="0" w:sz="4" w:val="single"/>
              <w:right w:color="efefef" w:space="0" w:sz="4" w:val="single"/>
            </w:tcBorders>
            <w:shd w:fill="auto" w:val="clear"/>
          </w:tcPr>
          <w:p w:rsidR="00000000" w:rsidDel="00000000" w:rsidP="00000000" w:rsidRDefault="00000000" w:rsidRPr="00000000" w14:paraId="0000002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>Aluno 1:</w:t>
            </w:r>
          </w:p>
        </w:tc>
        <w:tc>
          <w:tcPr>
            <w:tcBorders>
              <w:top w:color="efefef" w:space="0" w:sz="4" w:val="single"/>
              <w:left w:color="efefef" w:space="0" w:sz="4" w:val="single"/>
              <w:bottom w:color="efefef" w:space="0" w:sz="4" w:val="single"/>
              <w:right w:color="efefef" w:space="0" w:sz="4" w:val="single"/>
            </w:tcBorders>
            <w:shd w:fill="auto" w:val="clear"/>
          </w:tcPr>
          <w:p w:rsidR="00000000" w:rsidDel="00000000" w:rsidP="00000000" w:rsidRDefault="00000000" w:rsidRPr="00000000" w14:paraId="0000002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1"/>
                <w:iCs w:val="1"/>
                <w:smallCaps w:val="0"/>
                <w:strike w:val="0"/>
                <w:color w:val="0000ff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1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>Claudio da Aparecida Meireles Filho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efefef" w:space="0" w:sz="4" w:val="single"/>
              <w:left w:color="efefef" w:space="0" w:sz="4" w:val="single"/>
              <w:bottom w:color="efefef" w:space="0" w:sz="4" w:val="single"/>
              <w:right w:color="efefef" w:space="0" w:sz="4" w:val="single"/>
            </w:tcBorders>
            <w:shd w:fill="auto" w:val="clear"/>
          </w:tcPr>
          <w:p w:rsidR="00000000" w:rsidDel="00000000" w:rsidP="00000000" w:rsidRDefault="00000000" w:rsidRPr="00000000" w14:paraId="0000002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>Matrícula:</w:t>
            </w:r>
          </w:p>
        </w:tc>
        <w:tc>
          <w:tcPr>
            <w:tcBorders>
              <w:top w:color="efefef" w:space="0" w:sz="4" w:val="single"/>
              <w:left w:color="efefef" w:space="0" w:sz="4" w:val="single"/>
              <w:bottom w:color="efefef" w:space="0" w:sz="4" w:val="single"/>
              <w:right w:color="efefef" w:space="0" w:sz="4" w:val="single"/>
            </w:tcBorders>
            <w:shd w:fill="auto" w:val="clear"/>
          </w:tcPr>
          <w:p w:rsidR="00000000" w:rsidDel="00000000" w:rsidP="00000000" w:rsidRDefault="00000000" w:rsidRPr="00000000" w14:paraId="0000002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1"/>
                <w:iCs w:val="1"/>
                <w:smallCaps w:val="0"/>
                <w:strike w:val="0"/>
                <w:color w:val="0000ff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1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>2321070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efefef" w:space="0" w:sz="4" w:val="single"/>
              <w:left w:color="efefef" w:space="0" w:sz="4" w:val="single"/>
              <w:bottom w:color="efefef" w:space="0" w:sz="4" w:val="single"/>
              <w:right w:color="efefef" w:space="0" w:sz="4" w:val="single"/>
            </w:tcBorders>
            <w:shd w:fill="auto" w:val="clear"/>
          </w:tcPr>
          <w:p w:rsidR="00000000" w:rsidDel="00000000" w:rsidP="00000000" w:rsidRDefault="00000000" w:rsidRPr="00000000" w14:paraId="0000002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>Aluno 2:</w:t>
            </w:r>
          </w:p>
        </w:tc>
        <w:tc>
          <w:tcPr>
            <w:tcBorders>
              <w:top w:color="efefef" w:space="0" w:sz="4" w:val="single"/>
              <w:left w:color="efefef" w:space="0" w:sz="4" w:val="single"/>
              <w:bottom w:color="efefef" w:space="0" w:sz="4" w:val="single"/>
              <w:right w:color="efefef" w:space="0" w:sz="4" w:val="single"/>
            </w:tcBorders>
            <w:shd w:fill="auto" w:val="clear"/>
          </w:tcPr>
          <w:p w:rsidR="00000000" w:rsidDel="00000000" w:rsidP="00000000" w:rsidRDefault="00000000" w:rsidRPr="00000000" w14:paraId="0000002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1"/>
                <w:iCs w:val="1"/>
                <w:smallCaps w:val="0"/>
                <w:strike w:val="0"/>
                <w:color w:val="0000ff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1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>Felipe Pereira Dutra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efefef" w:space="0" w:sz="4" w:val="single"/>
              <w:left w:color="efefef" w:space="0" w:sz="4" w:val="single"/>
              <w:bottom w:color="efefef" w:space="0" w:sz="4" w:val="single"/>
              <w:right w:color="efefef" w:space="0" w:sz="4" w:val="single"/>
            </w:tcBorders>
            <w:shd w:fill="auto" w:val="clear"/>
          </w:tcPr>
          <w:p w:rsidR="00000000" w:rsidDel="00000000" w:rsidP="00000000" w:rsidRDefault="00000000" w:rsidRPr="00000000" w14:paraId="0000002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>Matrícula:</w:t>
            </w:r>
          </w:p>
        </w:tc>
        <w:tc>
          <w:tcPr>
            <w:tcBorders>
              <w:top w:color="efefef" w:space="0" w:sz="4" w:val="single"/>
              <w:left w:color="efefef" w:space="0" w:sz="4" w:val="single"/>
              <w:bottom w:color="efefef" w:space="0" w:sz="4" w:val="single"/>
              <w:right w:color="efefef" w:space="0" w:sz="4" w:val="single"/>
            </w:tcBorders>
            <w:shd w:fill="auto" w:val="clear"/>
          </w:tcPr>
          <w:p w:rsidR="00000000" w:rsidDel="00000000" w:rsidP="00000000" w:rsidRDefault="00000000" w:rsidRPr="00000000" w14:paraId="0000002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1"/>
                <w:iCs w:val="1"/>
                <w:smallCaps w:val="0"/>
                <w:strike w:val="0"/>
                <w:color w:val="0000ff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1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>2321017</w:t>
            </w:r>
          </w:p>
        </w:tc>
      </w:tr>
    </w:tbl>
    <w:p w:rsidR="00000000" w:rsidDel="00000000" w:rsidP="00000000" w:rsidRDefault="00000000" w:rsidRPr="00000000" w14:paraId="00000029">
      <w:pPr>
        <w:rPr/>
        <w:sectPr>
          <w:headerReference r:id="rId8" w:type="default"/>
          <w:footerReference r:id="rId9" w:type="default"/>
          <w:pgSz w:h="16838" w:w="11906" w:orient="portrait"/>
          <w:pgMar w:bottom="1440" w:top="1440" w:left="1440" w:right="1440" w:header="720" w:footer="720"/>
          <w:pgNumType w:start="1"/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pStyle w:val="Heading1"/>
        <w:numPr>
          <w:ilvl w:val="0"/>
          <w:numId w:val="1"/>
        </w:numPr>
        <w:ind w:left="425" w:right="0" w:hanging="360"/>
        <w:jc w:val="both"/>
        <w:rPr/>
      </w:pPr>
      <w:bookmarkStart w:colFirst="0" w:colLast="0" w:name="_heading=h.gjdgxs" w:id="0"/>
      <w:bookmarkEnd w:id="0"/>
      <w:r w:rsidDel="00000000" w:rsidR="00000000" w:rsidRPr="00000000">
        <w:rPr>
          <w:b w:val="1"/>
          <w:bCs w:val="1"/>
          <w:sz w:val="24"/>
          <w:szCs w:val="24"/>
          <w:rtl w:val="0"/>
        </w:rPr>
        <w:t>A dupla, o segmento e o tema</w:t>
      </w:r>
    </w:p>
    <w:p w:rsidR="00000000" w:rsidDel="00000000" w:rsidP="00000000" w:rsidRDefault="00000000" w:rsidRPr="00000000" w14:paraId="0000002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both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i w:val="1"/>
          <w:iCs w:val="1"/>
          <w:color w:val="0000ff"/>
          <w:sz w:val="24"/>
          <w:szCs w:val="24"/>
          <w:rtl w:val="0"/>
        </w:rPr>
      </w:r>
    </w:p>
    <w:p w:rsidR="00000000" w:rsidDel="00000000" w:rsidP="00000000" w:rsidRDefault="00000000" w:rsidRPr="00000000" w14:paraId="0000002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280" w:line="276" w:lineRule="auto"/>
        <w:ind w:left="0" w:right="0" w:firstLine="0"/>
        <w:jc w:val="both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b/>
          <w:i w:val="0"/>
          <w:iCs w:val="1"/>
          <w:color w:val="000000"/>
          <w:sz w:val="24"/>
          <w:szCs w:val="24"/>
          <w:rtl w:val="0"/>
        </w:rPr>
        <w:t>a) A dupla do trabalho de projeto aplicado</w:t>
      </w:r>
    </w:p>
    <w:p w:rsidR="00000000" w:rsidDel="00000000" w:rsidP="00000000" w:rsidRDefault="00000000" w:rsidRPr="00000000" w14:paraId="0000002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280" w:line="276" w:lineRule="auto"/>
        <w:ind w:left="0" w:right="0" w:firstLine="0"/>
        <w:jc w:val="both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b w:val="0"/>
          <w:i w:val="0"/>
          <w:iCs w:val="1"/>
          <w:color w:val="000000"/>
          <w:sz w:val="24"/>
          <w:szCs w:val="24"/>
          <w:rtl w:val="0"/>
        </w:rPr>
        <w:t>Aluno 1: Claudio da Aparecida Meireles Filho - matrícula 2321070.</w:t>
      </w:r>
    </w:p>
    <w:p w:rsidR="00000000" w:rsidDel="00000000" w:rsidP="00000000" w:rsidRDefault="00000000" w:rsidRPr="00000000" w14:paraId="0000002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280" w:line="276" w:lineRule="auto"/>
        <w:ind w:left="0" w:right="0" w:firstLine="0"/>
        <w:jc w:val="both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b w:val="0"/>
          <w:i w:val="0"/>
          <w:iCs w:val="1"/>
          <w:color w:val="000000"/>
          <w:sz w:val="24"/>
          <w:szCs w:val="24"/>
          <w:rtl w:val="0"/>
        </w:rPr>
        <w:t>Aluno 2: Felipe Pereira Dutra - matrícula 2321017.</w:t>
      </w:r>
    </w:p>
    <w:p w:rsidR="00000000" w:rsidDel="00000000" w:rsidP="00000000" w:rsidRDefault="00000000" w:rsidRPr="00000000" w14:paraId="0000002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280" w:line="276" w:lineRule="auto"/>
        <w:ind w:left="0" w:right="0" w:firstLine="0"/>
        <w:jc w:val="both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b/>
          <w:i w:val="0"/>
          <w:iCs w:val="1"/>
          <w:color w:val="000000"/>
          <w:sz w:val="24"/>
          <w:szCs w:val="24"/>
          <w:rtl w:val="0"/>
        </w:rPr>
        <w:t>b) A empresa / segmento abordado</w:t>
      </w:r>
    </w:p>
    <w:p w:rsidR="00000000" w:rsidDel="00000000" w:rsidP="00000000" w:rsidRDefault="00000000" w:rsidRPr="00000000" w14:paraId="0000002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280" w:line="276" w:lineRule="auto"/>
        <w:ind w:left="0" w:right="0" w:firstLine="0"/>
        <w:jc w:val="both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b w:val="0"/>
          <w:i w:val="0"/>
          <w:iCs w:val="1"/>
          <w:color w:val="000000"/>
          <w:sz w:val="24"/>
          <w:szCs w:val="24"/>
          <w:rtl w:val="0"/>
        </w:rPr>
        <w:t>Segmento de revenda de combustíveis no Brasil - os postos revendedores que vendem gasolina comum, etanol hidratado, diesel S-10 e GNV ao consumidor final, e as distribuidoras cujas bandeiras esses postos carregam. O estudo olha o mercado nacional e abre um recorte para o Distrito Federal, mercado onde a dupla mora e cujo comportamento de preço pretende comparar com o das demais unidades da federação.</w:t>
      </w:r>
    </w:p>
    <w:p w:rsidR="00000000" w:rsidDel="00000000" w:rsidP="00000000" w:rsidRDefault="00000000" w:rsidRPr="00000000" w14:paraId="0000002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280" w:line="276" w:lineRule="auto"/>
        <w:ind w:left="0" w:right="0" w:firstLine="0"/>
        <w:jc w:val="both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b/>
          <w:i w:val="0"/>
          <w:iCs w:val="1"/>
          <w:color w:val="000000"/>
          <w:sz w:val="24"/>
          <w:szCs w:val="24"/>
          <w:rtl w:val="0"/>
        </w:rPr>
        <w:t>c) Área de negócio e tema</w:t>
      </w:r>
    </w:p>
    <w:p w:rsidR="00000000" w:rsidDel="00000000" w:rsidP="00000000" w:rsidRDefault="00000000" w:rsidRPr="00000000" w14:paraId="0000002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280" w:line="276" w:lineRule="auto"/>
        <w:ind w:left="0" w:right="0" w:firstLine="0"/>
        <w:jc w:val="both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b/>
          <w:i w:val="0"/>
          <w:iCs w:val="1"/>
          <w:color w:val="000000"/>
          <w:sz w:val="24"/>
          <w:szCs w:val="24"/>
          <w:rtl w:val="0"/>
        </w:rPr>
        <w:t xml:space="preserve">Área de negócio: </w:t>
      </w:r>
      <w:r w:rsidDel="00000000" w:rsidR="00000000" w:rsidRPr="00000000">
        <w:rPr>
          <w:b w:val="0"/>
          <w:i w:val="0"/>
          <w:iCs w:val="1"/>
          <w:color w:val="000000"/>
          <w:sz w:val="24"/>
          <w:szCs w:val="24"/>
          <w:rtl w:val="0"/>
        </w:rPr>
        <w:t>Precificação e Inteligência de Mercado (pricing). É a área que decide o preço de bomba, acompanha o preço praticado pela concorrência e monitora a posição competitiva da rede em cada praça.</w:t>
      </w:r>
    </w:p>
    <w:p w:rsidR="00000000" w:rsidDel="00000000" w:rsidP="00000000" w:rsidRDefault="00000000" w:rsidRPr="00000000" w14:paraId="0000002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280" w:line="276" w:lineRule="auto"/>
        <w:ind w:left="0" w:right="0" w:firstLine="0"/>
        <w:jc w:val="both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b/>
          <w:i w:val="0"/>
          <w:iCs w:val="1"/>
          <w:color w:val="000000"/>
          <w:sz w:val="24"/>
          <w:szCs w:val="24"/>
          <w:rtl w:val="0"/>
        </w:rPr>
        <w:t xml:space="preserve">Tema: </w:t>
      </w:r>
      <w:r w:rsidDel="00000000" w:rsidR="00000000" w:rsidRPr="00000000">
        <w:rPr>
          <w:b w:val="0"/>
          <w:i w:val="0"/>
          <w:iCs w:val="1"/>
          <w:color w:val="000000"/>
          <w:sz w:val="24"/>
          <w:szCs w:val="24"/>
          <w:rtl w:val="0"/>
        </w:rPr>
        <w:t>Comportamento do preço de revenda de combustíveis no Brasil. O trabalho vai medir como o preço evoluiu ao longo do tempo, o quanto ele varia entre regiões e unidades da federação, qual é a dispersão de preço dentro de uma mesma cidade e em que condições o etanol se torna vantajoso frente à gasolina.</w:t>
      </w:r>
    </w:p>
    <w:p w:rsidR="00000000" w:rsidDel="00000000" w:rsidP="00000000" w:rsidRDefault="00000000" w:rsidRPr="00000000" w14:paraId="0000002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280" w:line="276" w:lineRule="auto"/>
        <w:ind w:left="0" w:right="0" w:firstLine="0"/>
        <w:jc w:val="both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b/>
          <w:i w:val="0"/>
          <w:iCs w:val="1"/>
          <w:color w:val="000000"/>
          <w:sz w:val="24"/>
          <w:szCs w:val="24"/>
          <w:rtl w:val="0"/>
        </w:rPr>
        <w:t xml:space="preserve">Por que esse tema: </w:t>
      </w:r>
      <w:r w:rsidDel="00000000" w:rsidR="00000000" w:rsidRPr="00000000">
        <w:rPr>
          <w:b w:val="0"/>
          <w:i w:val="0"/>
          <w:iCs w:val="1"/>
          <w:color w:val="000000"/>
          <w:sz w:val="24"/>
          <w:szCs w:val="24"/>
          <w:rtl w:val="0"/>
        </w:rPr>
        <w:t>combustível é um preço que todo consumidor acompanha e que toda rede de postos precisa decidir toda semana, e a ANP publica a coleta de preços posto a posto em série aberta e longa. Isso dá ao projeto um conjunto de dados com dimensão geográfica, dimensão de tempo e dimensão de produto - exatamente o formato que o Power BI explora bem - sem depender de dado proprietário de nenhuma empresa.</w:t>
      </w:r>
    </w:p>
    <w:p w:rsidR="00000000" w:rsidDel="00000000" w:rsidP="00000000" w:rsidRDefault="00000000" w:rsidRPr="00000000" w14:paraId="0000002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right="0"/>
        <w:jc w:val="left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31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bookmarkStart w:colFirst="0" w:colLast="0" w:name="_heading=h.30j0zll" w:id="1"/>
      <w:bookmarkEnd w:id="1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31" w:lineRule="auto"/>
        <w:ind w:left="0" w:right="0" w:firstLine="0"/>
        <w:jc w:val="both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pStyle w:val="Heading1"/>
        <w:numPr>
          <w:ilvl w:val="0"/>
          <w:numId w:val="1"/>
        </w:numPr>
        <w:spacing w:line="331" w:lineRule="auto"/>
        <w:ind w:left="425" w:right="0" w:hanging="360"/>
        <w:jc w:val="both"/>
        <w:rPr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>Perguntas de pesquisa e bases de dados</w:t>
      </w:r>
    </w:p>
    <w:p w:rsidR="00000000" w:rsidDel="00000000" w:rsidP="00000000" w:rsidRDefault="00000000" w:rsidRPr="00000000" w14:paraId="0000003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31" w:lineRule="auto"/>
        <w:ind w:left="0" w:right="0" w:firstLine="0"/>
        <w:jc w:val="both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31" w:lineRule="auto"/>
        <w:ind w:left="0" w:right="0" w:firstLine="0"/>
        <w:jc w:val="both"/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ff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/>
          <w:bCs w:val="0"/>
          <w:i w:val="0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>d) Quais são as perguntas que o estudo se propõe a resolver?</w:t>
      </w:r>
    </w:p>
    <w:p w:rsidR="00000000" w:rsidDel="00000000" w:rsidP="00000000" w:rsidRDefault="00000000" w:rsidRPr="00000000" w14:paraId="0000003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31" w:lineRule="auto"/>
        <w:ind w:left="0" w:right="0" w:firstLine="0"/>
        <w:jc w:val="both"/>
        <w:rPr>
          <w:i w:val="1"/>
          <w:iCs w:val="1"/>
          <w:color w:val="0000ff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keepNext w:val="0"/>
        <w:keepLines w:val="0"/>
        <w:pageBreakBefore w:val="0"/>
        <w:widowControl w:val="0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31" w:lineRule="auto"/>
        <w:ind w:left="720" w:right="0" w:hanging="360"/>
        <w:jc w:val="both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>Como evoluiu o preço médio de revenda da gasolina comum, do etanol hidratado e do diesel S-10 no Brasil na última década, e quanto dessa alta se sustenta depois de descontada a inflação medida pelo IPCA?</w:t>
      </w:r>
    </w:p>
    <w:p w:rsidR="00000000" w:rsidDel="00000000" w:rsidP="00000000" w:rsidRDefault="00000000" w:rsidRPr="00000000" w14:paraId="00000034">
      <w:pPr>
        <w:keepNext w:val="0"/>
        <w:keepLines w:val="0"/>
        <w:pageBreakBefore w:val="0"/>
        <w:widowControl w:val="0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31" w:lineRule="auto"/>
        <w:ind w:left="720" w:right="0" w:hanging="360"/>
        <w:jc w:val="both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>Quanto o preço do mesmo produto varia entre as regiões e as unidades da federação? Qual é a distância entre a UF mais cara e a mais barata em cada ano, e em que posição desse ranking está o Distrito Federal?</w:t>
      </w:r>
    </w:p>
    <w:p w:rsidR="00000000" w:rsidDel="00000000" w:rsidP="00000000" w:rsidRDefault="00000000" w:rsidRPr="00000000" w14:paraId="00000034">
      <w:pPr>
        <w:keepNext w:val="0"/>
        <w:keepLines w:val="0"/>
        <w:pageBreakBefore w:val="0"/>
        <w:widowControl w:val="0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31" w:lineRule="auto"/>
        <w:ind w:left="720" w:right="0" w:hanging="360"/>
        <w:jc w:val="both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>Qual é a dispersão de preço dentro de um mesmo município na mesma semana de coleta? Em outras palavras: quanto o consumidor economiza, em reais por litro, saindo do posto mais caro para o mais barato da sua cidade?</w:t>
      </w:r>
    </w:p>
    <w:p w:rsidR="00000000" w:rsidDel="00000000" w:rsidP="00000000" w:rsidRDefault="00000000" w:rsidRPr="00000000" w14:paraId="00000034">
      <w:pPr>
        <w:keepNext w:val="0"/>
        <w:keepLines w:val="0"/>
        <w:pageBreakBefore w:val="0"/>
        <w:widowControl w:val="0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31" w:lineRule="auto"/>
        <w:ind w:left="720" w:right="0" w:hanging="360"/>
        <w:jc w:val="both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>Em quais unidades da federação e em quais períodos o etanol hidratado foi vantajoso frente à gasolina comum, usando a regra de paridade de 70% entre os dois preços?</w:t>
      </w:r>
    </w:p>
    <w:p w:rsidR="00000000" w:rsidDel="00000000" w:rsidP="00000000" w:rsidRDefault="00000000" w:rsidRPr="00000000" w14:paraId="00000034">
      <w:pPr>
        <w:keepNext w:val="0"/>
        <w:keepLines w:val="0"/>
        <w:pageBreakBefore w:val="0"/>
        <w:widowControl w:val="0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31" w:lineRule="auto"/>
        <w:ind w:left="720" w:right="0" w:hanging="360"/>
        <w:jc w:val="both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>Existe diferença consistente de preço entre postos bandeirados e postos de bandeira branca? A diferença é a mesma em todas as regiões do país?</w:t>
      </w:r>
    </w:p>
    <w:p w:rsidR="00000000" w:rsidDel="00000000" w:rsidP="00000000" w:rsidRDefault="00000000" w:rsidRPr="00000000" w14:paraId="0000003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280" w:line="331" w:lineRule="auto"/>
        <w:ind w:left="0" w:right="0" w:firstLine="0"/>
        <w:jc w:val="both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>e) Quais bases de dados serão utilizadas?</w:t>
      </w:r>
    </w:p>
    <w:p w:rsidR="00000000" w:rsidDel="00000000" w:rsidP="00000000" w:rsidRDefault="00000000" w:rsidRPr="00000000" w14:paraId="0000003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280" w:line="331" w:lineRule="auto"/>
        <w:ind w:left="0" w:right="0" w:firstLine="0"/>
        <w:jc w:val="both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>Todas as bases são públicas e de download livre, sem cadastro. A base principal é a coleta de preços da ANP; as outras duas entram como apoio para ponderação e para correção monetária. Os arquivos também estão espelhados no Portal Brasileiro de Dados Abertos (dados.gov.br).</w:t>
      </w:r>
    </w:p>
    <w:tbl>
      <w:tblPr>
        <w:tblStyle w:val="Table1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3009"/>
        <w:gridCol w:w="3009"/>
        <w:gridCol w:w="3009"/>
      </w:tblGrid>
      <w:tr>
        <w:tc>
          <w:tcPr>
            <w:tcW w:type="dxa" w:w="2376"/>
          </w:tcPr>
          <w:p>
            <w:r>
              <w:rPr>
                <w:b/>
                <w:i w:val="0"/>
                <w:color w:val="000000"/>
                <w:sz w:val="18"/>
              </w:rPr>
              <w:t>Base de dados</w:t>
            </w:r>
          </w:p>
        </w:tc>
        <w:tc>
          <w:tcPr>
            <w:tcW w:type="dxa" w:w="4104"/>
          </w:tcPr>
          <w:p>
            <w:r>
              <w:rPr>
                <w:b/>
                <w:i w:val="0"/>
                <w:color w:val="000000"/>
                <w:sz w:val="18"/>
              </w:rPr>
              <w:t>Conteúdo e uso no estudo</w:t>
            </w:r>
          </w:p>
        </w:tc>
        <w:tc>
          <w:tcPr>
            <w:tcW w:type="dxa" w:w="2448"/>
          </w:tcPr>
          <w:p>
            <w:r>
              <w:rPr>
                <w:b/>
                <w:i w:val="0"/>
                <w:color w:val="000000"/>
                <w:sz w:val="18"/>
              </w:rPr>
              <w:t>Link da fonte</w:t>
            </w:r>
          </w:p>
        </w:tc>
      </w:tr>
      <w:tr>
        <w:tc>
          <w:tcPr>
            <w:tcW w:type="dxa" w:w="2376"/>
          </w:tcPr>
          <w:p>
            <w:r>
              <w:rPr>
                <w:b/>
                <w:i w:val="0"/>
                <w:color w:val="000000"/>
                <w:sz w:val="18"/>
              </w:rPr>
              <w:t>ANP - Série histórica de preços de combustíveis</w:t>
            </w:r>
          </w:p>
        </w:tc>
        <w:tc>
          <w:tcPr>
            <w:tcW w:type="dxa" w:w="4104"/>
          </w:tcPr>
          <w:p>
            <w:r>
              <w:rPr>
                <w:b w:val="0"/>
                <w:i w:val="0"/>
                <w:color w:val="000000"/>
                <w:sz w:val="18"/>
              </w:rPr>
              <w:t>Base principal. Levantamento de Preços de Combustíveis: coleta semanal do preço praticado em postos revendedores, com região, UF, município, produto, data da coleta, valor de venda e bandeira. Série disponível desde 2004.</w:t>
            </w:r>
          </w:p>
        </w:tc>
        <w:tc>
          <w:tcPr>
            <w:tcW w:type="dxa" w:w="2448"/>
          </w:tcPr>
          <w:p>
            <w:r>
              <w:rPr>
                <w:b w:val="0"/>
                <w:i w:val="0"/>
                <w:color w:val="000000"/>
                <w:sz w:val="18"/>
              </w:rPr>
              <w:t>https://www.gov.br/anp/pt-br/centrais-de-conteudo/dados-abertos/serie-historica-de-precos-de-combustiveis</w:t>
            </w:r>
          </w:p>
        </w:tc>
      </w:tr>
      <w:tr>
        <w:tc>
          <w:tcPr>
            <w:tcW w:type="dxa" w:w="2376"/>
          </w:tcPr>
          <w:p>
            <w:r>
              <w:rPr>
                <w:b/>
                <w:i w:val="0"/>
                <w:color w:val="000000"/>
                <w:sz w:val="18"/>
              </w:rPr>
              <w:t>ANP - Vendas de derivados de petróleo e etanol</w:t>
            </w:r>
          </w:p>
        </w:tc>
        <w:tc>
          <w:tcPr>
            <w:tcW w:type="dxa" w:w="4104"/>
          </w:tcPr>
          <w:p>
            <w:r>
              <w:rPr>
                <w:b w:val="0"/>
                <w:i w:val="0"/>
                <w:color w:val="000000"/>
                <w:sz w:val="18"/>
              </w:rPr>
              <w:t>Base de apoio. Volume mensal de vendas por unidade da federação e por produto, usado para ponderar as médias de preço pelo tamanho de cada mercado e para dar contexto de demanda às variações observadas.</w:t>
            </w:r>
          </w:p>
        </w:tc>
        <w:tc>
          <w:tcPr>
            <w:tcW w:type="dxa" w:w="2448"/>
          </w:tcPr>
          <w:p>
            <w:r>
              <w:rPr>
                <w:b w:val="0"/>
                <w:i w:val="0"/>
                <w:color w:val="000000"/>
                <w:sz w:val="18"/>
              </w:rPr>
              <w:t>https://www.gov.br/anp/pt-br/centrais-de-conteudo/dados-abertos/vendas-de-derivados-de-petroleo-e-etanol</w:t>
            </w:r>
          </w:p>
        </w:tc>
      </w:tr>
      <w:tr>
        <w:tc>
          <w:tcPr>
            <w:tcW w:type="dxa" w:w="2376"/>
          </w:tcPr>
          <w:p>
            <w:r>
              <w:rPr>
                <w:b/>
                <w:i w:val="0"/>
                <w:color w:val="000000"/>
                <w:sz w:val="18"/>
              </w:rPr>
              <w:t>IBGE / SIDRA - IPCA (tabela 1737)</w:t>
            </w:r>
          </w:p>
        </w:tc>
        <w:tc>
          <w:tcPr>
            <w:tcW w:type="dxa" w:w="4104"/>
          </w:tcPr>
          <w:p>
            <w:r>
              <w:rPr>
                <w:b w:val="0"/>
                <w:i w:val="0"/>
                <w:color w:val="000000"/>
                <w:sz w:val="18"/>
              </w:rPr>
              <w:t>Base de apoio. Índice Nacional de Preços ao Consumidor Amplo, usado como deflator para converter os preços nominais da ANP em preços reais e separar alta de combustível de inflação geral.</w:t>
            </w:r>
          </w:p>
        </w:tc>
        <w:tc>
          <w:tcPr>
            <w:tcW w:type="dxa" w:w="2448"/>
          </w:tcPr>
          <w:p>
            <w:r>
              <w:rPr>
                <w:b w:val="0"/>
                <w:i w:val="0"/>
                <w:color w:val="000000"/>
                <w:sz w:val="18"/>
              </w:rPr>
              <w:t>https://sidra.ibge.gov.br/tabela/1737</w:t>
            </w:r>
          </w:p>
        </w:tc>
      </w:tr>
    </w:tbl>
    <w:p w:rsidR="00000000" w:rsidDel="00000000" w:rsidP="00000000" w:rsidRDefault="00000000" w:rsidRPr="00000000" w14:paraId="0000003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240" w:line="331" w:lineRule="auto"/>
        <w:ind w:left="0" w:right="0" w:firstLine="0"/>
        <w:jc w:val="both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>Data de entrega do pré-projeto: 25/09/2026.</w:t>
      </w:r>
    </w:p>
    <w:p w:rsidR="00000000" w:rsidDel="00000000" w:rsidP="00000000" w:rsidRDefault="00000000" w:rsidRPr="00000000" w14:paraId="0000003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31" w:lineRule="auto"/>
        <w:ind w:left="0" w:right="0" w:firstLine="0"/>
        <w:jc w:val="both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31" w:lineRule="auto"/>
        <w:ind w:left="0" w:right="0" w:firstLine="0"/>
        <w:jc w:val="both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31" w:lineRule="auto"/>
        <w:ind w:left="0" w:right="0" w:firstLine="0"/>
        <w:jc w:val="both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sectPr>
      <w:headerReference r:id="rId10" w:type="default"/>
      <w:footerReference r:id="rId11" w:type="default"/>
      <w:type w:val="nextPage"/>
      <w:pgSz w:h="16838" w:w="11906" w:orient="portrait"/>
      <w:pgMar w:bottom="1440" w:top="1723" w:left="1440" w:right="1440" w:header="1440" w:footer="720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40">
    <w:pPr>
      <w:keepNext w:val="0"/>
      <w:keepLines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41">
    <w:pPr>
      <w:keepNext w:val="0"/>
      <w:keepLines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right"/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E">
    <w:pPr>
      <w:keepNext w:val="0"/>
      <w:keepLines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F">
    <w:pPr>
      <w:keepNext w:val="0"/>
      <w:keepLines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b w:val="1"/>
        <w:bCs w:val="1"/>
        <w:sz w:val="24"/>
        <w:szCs w:val="24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upperLetter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pt_BR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000000"/>
      <w:sz w:val="22"/>
      <w:szCs w:val="22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20" w:before="36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000000"/>
      <w:sz w:val="32"/>
      <w:szCs w:val="32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80" w:before="32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434343"/>
      <w:sz w:val="28"/>
      <w:szCs w:val="28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80" w:before="28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666666"/>
      <w:sz w:val="24"/>
      <w:szCs w:val="24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80" w:before="24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666666"/>
      <w:sz w:val="22"/>
      <w:szCs w:val="22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80" w:before="24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1"/>
      <w:iCs w:val="1"/>
      <w:smallCaps w:val="0"/>
      <w:strike w:val="0"/>
      <w:color w:val="666666"/>
      <w:sz w:val="22"/>
      <w:szCs w:val="22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="240" w:lineRule="auto"/>
    </w:pPr>
    <w:rPr>
      <w:sz w:val="52"/>
      <w:szCs w:val="5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Normal" w:default="1">
    <w:name w:val="normal"/>
  </w:style>
  <w:style w:type="table" w:styleId="TableNormal" w:default="1">
    <w:name w:val="Table Normal"/>
  </w:style>
  <w:style w:type="character" w:styleId="ListLabel1">
    <w:name w:val="ListLabel 1"/>
    <w:qFormat w:val="1"/>
    <w:rPr>
      <w:b w:val="1"/>
      <w:sz w:val="24"/>
      <w:szCs w:val="24"/>
      <w:u w:val="none"/>
    </w:rPr>
  </w:style>
  <w:style w:type="character" w:styleId="ListLabel2">
    <w:name w:val="ListLabel 2"/>
    <w:qFormat w:val="1"/>
    <w:rPr>
      <w:u w:val="none"/>
    </w:rPr>
  </w:style>
  <w:style w:type="character" w:styleId="ListLabel3">
    <w:name w:val="ListLabel 3"/>
    <w:qFormat w:val="1"/>
    <w:rPr>
      <w:u w:val="none"/>
    </w:rPr>
  </w:style>
  <w:style w:type="character" w:styleId="ListLabel4">
    <w:name w:val="ListLabel 4"/>
    <w:qFormat w:val="1"/>
    <w:rPr>
      <w:u w:val="none"/>
    </w:rPr>
  </w:style>
  <w:style w:type="character" w:styleId="ListLabel5">
    <w:name w:val="ListLabel 5"/>
    <w:qFormat w:val="1"/>
    <w:rPr>
      <w:u w:val="none"/>
    </w:rPr>
  </w:style>
  <w:style w:type="character" w:styleId="ListLabel6">
    <w:name w:val="ListLabel 6"/>
    <w:qFormat w:val="1"/>
    <w:rPr>
      <w:u w:val="none"/>
    </w:rPr>
  </w:style>
  <w:style w:type="character" w:styleId="ListLabel7">
    <w:name w:val="ListLabel 7"/>
    <w:qFormat w:val="1"/>
    <w:rPr>
      <w:u w:val="none"/>
    </w:rPr>
  </w:style>
  <w:style w:type="character" w:styleId="ListLabel8">
    <w:name w:val="ListLabel 8"/>
    <w:qFormat w:val="1"/>
    <w:rPr>
      <w:u w:val="none"/>
    </w:rPr>
  </w:style>
  <w:style w:type="character" w:styleId="ListLabel9">
    <w:name w:val="ListLabel 9"/>
    <w:qFormat w:val="1"/>
    <w:rPr>
      <w:u w:val="none"/>
    </w:rPr>
  </w:style>
  <w:style w:type="character" w:styleId="ListLabel10">
    <w:name w:val="ListLabel 10"/>
    <w:qFormat w:val="1"/>
    <w:rPr>
      <w:b w:val="1"/>
      <w:sz w:val="24"/>
      <w:szCs w:val="24"/>
      <w:u w:val="none"/>
    </w:rPr>
  </w:style>
  <w:style w:type="character" w:styleId="ListLabel11">
    <w:name w:val="ListLabel 11"/>
    <w:qFormat w:val="1"/>
    <w:rPr>
      <w:u w:val="none"/>
    </w:rPr>
  </w:style>
  <w:style w:type="character" w:styleId="ListLabel12">
    <w:name w:val="ListLabel 12"/>
    <w:qFormat w:val="1"/>
    <w:rPr>
      <w:u w:val="none"/>
    </w:rPr>
  </w:style>
  <w:style w:type="character" w:styleId="ListLabel13">
    <w:name w:val="ListLabel 13"/>
    <w:qFormat w:val="1"/>
    <w:rPr>
      <w:u w:val="none"/>
    </w:rPr>
  </w:style>
  <w:style w:type="character" w:styleId="ListLabel14">
    <w:name w:val="ListLabel 14"/>
    <w:qFormat w:val="1"/>
    <w:rPr>
      <w:u w:val="none"/>
    </w:rPr>
  </w:style>
  <w:style w:type="character" w:styleId="ListLabel15">
    <w:name w:val="ListLabel 15"/>
    <w:qFormat w:val="1"/>
    <w:rPr>
      <w:u w:val="none"/>
    </w:rPr>
  </w:style>
  <w:style w:type="character" w:styleId="ListLabel16">
    <w:name w:val="ListLabel 16"/>
    <w:qFormat w:val="1"/>
    <w:rPr>
      <w:u w:val="none"/>
    </w:rPr>
  </w:style>
  <w:style w:type="character" w:styleId="ListLabel17">
    <w:name w:val="ListLabel 17"/>
    <w:qFormat w:val="1"/>
    <w:rPr>
      <w:u w:val="none"/>
    </w:rPr>
  </w:style>
  <w:style w:type="character" w:styleId="ListLabel18">
    <w:name w:val="ListLabel 18"/>
    <w:qFormat w:val="1"/>
    <w:rPr>
      <w:u w:val="none"/>
    </w:rPr>
  </w:style>
  <w:style w:type="character" w:styleId="ListLabel19">
    <w:name w:val="ListLabel 19"/>
    <w:qFormat w:val="1"/>
    <w:rPr>
      <w:rFonts w:ascii="Arial" w:cs="Wingdings" w:hAnsi="Arial"/>
      <w:b w:val="0"/>
      <w:sz w:val="24"/>
    </w:rPr>
  </w:style>
  <w:style w:type="character" w:styleId="ListLabel20">
    <w:name w:val="ListLabel 20"/>
    <w:qFormat w:val="1"/>
    <w:rPr>
      <w:rFonts w:cs="OpenSymbol"/>
    </w:rPr>
  </w:style>
  <w:style w:type="character" w:styleId="ListLabel21">
    <w:name w:val="ListLabel 21"/>
    <w:qFormat w:val="1"/>
    <w:rPr>
      <w:rFonts w:cs="OpenSymbol"/>
    </w:rPr>
  </w:style>
  <w:style w:type="character" w:styleId="ListLabel22">
    <w:name w:val="ListLabel 22"/>
    <w:qFormat w:val="1"/>
    <w:rPr>
      <w:rFonts w:cs="Wingdings"/>
    </w:rPr>
  </w:style>
  <w:style w:type="character" w:styleId="ListLabel23">
    <w:name w:val="ListLabel 23"/>
    <w:qFormat w:val="1"/>
    <w:rPr>
      <w:rFonts w:cs="OpenSymbol"/>
    </w:rPr>
  </w:style>
  <w:style w:type="character" w:styleId="ListLabel24">
    <w:name w:val="ListLabel 24"/>
    <w:qFormat w:val="1"/>
    <w:rPr>
      <w:rFonts w:cs="OpenSymbol"/>
    </w:rPr>
  </w:style>
  <w:style w:type="character" w:styleId="ListLabel25">
    <w:name w:val="ListLabel 25"/>
    <w:qFormat w:val="1"/>
    <w:rPr>
      <w:rFonts w:cs="Wingdings"/>
    </w:rPr>
  </w:style>
  <w:style w:type="character" w:styleId="ListLabel26">
    <w:name w:val="ListLabel 26"/>
    <w:qFormat w:val="1"/>
    <w:rPr>
      <w:rFonts w:cs="OpenSymbol"/>
    </w:rPr>
  </w:style>
  <w:style w:type="character" w:styleId="ListLabel27">
    <w:name w:val="ListLabel 27"/>
    <w:qFormat w:val="1"/>
    <w:rPr>
      <w:rFonts w:cs="OpenSymbol"/>
    </w:rPr>
  </w:style>
  <w:style w:type="character" w:styleId="NumberingSymbols">
    <w:name w:val="Numbering Symbols"/>
    <w:qFormat w:val="1"/>
    <w:rPr/>
  </w:style>
  <w:style w:type="character" w:styleId="ListLabel28">
    <w:name w:val="ListLabel 28"/>
    <w:qFormat w:val="1"/>
    <w:rPr>
      <w:b w:val="1"/>
      <w:sz w:val="24"/>
      <w:szCs w:val="24"/>
      <w:u w:val="none"/>
    </w:rPr>
  </w:style>
  <w:style w:type="character" w:styleId="ListLabel29">
    <w:name w:val="ListLabel 29"/>
    <w:qFormat w:val="1"/>
    <w:rPr>
      <w:u w:val="none"/>
    </w:rPr>
  </w:style>
  <w:style w:type="character" w:styleId="ListLabel30">
    <w:name w:val="ListLabel 30"/>
    <w:qFormat w:val="1"/>
    <w:rPr>
      <w:u w:val="none"/>
    </w:rPr>
  </w:style>
  <w:style w:type="character" w:styleId="ListLabel31">
    <w:name w:val="ListLabel 31"/>
    <w:qFormat w:val="1"/>
    <w:rPr>
      <w:u w:val="none"/>
    </w:rPr>
  </w:style>
  <w:style w:type="character" w:styleId="ListLabel32">
    <w:name w:val="ListLabel 32"/>
    <w:qFormat w:val="1"/>
    <w:rPr>
      <w:u w:val="none"/>
    </w:rPr>
  </w:style>
  <w:style w:type="character" w:styleId="ListLabel33">
    <w:name w:val="ListLabel 33"/>
    <w:qFormat w:val="1"/>
    <w:rPr>
      <w:u w:val="none"/>
    </w:rPr>
  </w:style>
  <w:style w:type="character" w:styleId="ListLabel34">
    <w:name w:val="ListLabel 34"/>
    <w:qFormat w:val="1"/>
    <w:rPr>
      <w:u w:val="none"/>
    </w:rPr>
  </w:style>
  <w:style w:type="character" w:styleId="ListLabel35">
    <w:name w:val="ListLabel 35"/>
    <w:qFormat w:val="1"/>
    <w:rPr>
      <w:u w:val="none"/>
    </w:rPr>
  </w:style>
  <w:style w:type="character" w:styleId="ListLabel36">
    <w:name w:val="ListLabel 36"/>
    <w:qFormat w:val="1"/>
    <w:rPr>
      <w:u w:val="none"/>
    </w:rPr>
  </w:style>
  <w:style w:type="character" w:styleId="ListLabel37">
    <w:name w:val="ListLabel 37"/>
    <w:qFormat w:val="1"/>
    <w:rPr>
      <w:rFonts w:cs="OpenSymbol"/>
    </w:rPr>
  </w:style>
  <w:style w:type="character" w:styleId="ListLabel38">
    <w:name w:val="ListLabel 38"/>
    <w:qFormat w:val="1"/>
    <w:rPr>
      <w:rFonts w:cs="OpenSymbol"/>
    </w:rPr>
  </w:style>
  <w:style w:type="character" w:styleId="ListLabel39">
    <w:name w:val="ListLabel 39"/>
    <w:qFormat w:val="1"/>
    <w:rPr>
      <w:rFonts w:cs="Wingdings"/>
    </w:rPr>
  </w:style>
  <w:style w:type="character" w:styleId="ListLabel40">
    <w:name w:val="ListLabel 40"/>
    <w:qFormat w:val="1"/>
    <w:rPr>
      <w:rFonts w:cs="OpenSymbol"/>
    </w:rPr>
  </w:style>
  <w:style w:type="character" w:styleId="ListLabel41">
    <w:name w:val="ListLabel 41"/>
    <w:qFormat w:val="1"/>
    <w:rPr>
      <w:rFonts w:cs="OpenSymbol"/>
    </w:rPr>
  </w:style>
  <w:style w:type="character" w:styleId="ListLabel42">
    <w:name w:val="ListLabel 42"/>
    <w:qFormat w:val="1"/>
    <w:rPr>
      <w:rFonts w:cs="Wingdings"/>
    </w:rPr>
  </w:style>
  <w:style w:type="character" w:styleId="ListLabel43">
    <w:name w:val="ListLabel 43"/>
    <w:qFormat w:val="1"/>
    <w:rPr>
      <w:rFonts w:cs="OpenSymbol"/>
    </w:rPr>
  </w:style>
  <w:style w:type="character" w:styleId="ListLabel44">
    <w:name w:val="ListLabel 44"/>
    <w:qFormat w:val="1"/>
    <w:rPr>
      <w:rFonts w:cs="OpenSymbol"/>
    </w:rPr>
  </w:style>
  <w:style w:type="character" w:styleId="ListLabel45">
    <w:name w:val="ListLabel 45"/>
    <w:qFormat w:val="1"/>
    <w:rPr>
      <w:b w:val="1"/>
      <w:sz w:val="24"/>
      <w:szCs w:val="24"/>
      <w:u w:val="none"/>
    </w:rPr>
  </w:style>
  <w:style w:type="character" w:styleId="ListLabel46">
    <w:name w:val="ListLabel 46"/>
    <w:qFormat w:val="1"/>
    <w:rPr>
      <w:u w:val="none"/>
    </w:rPr>
  </w:style>
  <w:style w:type="character" w:styleId="ListLabel47">
    <w:name w:val="ListLabel 47"/>
    <w:qFormat w:val="1"/>
    <w:rPr>
      <w:u w:val="none"/>
    </w:rPr>
  </w:style>
  <w:style w:type="character" w:styleId="ListLabel48">
    <w:name w:val="ListLabel 48"/>
    <w:qFormat w:val="1"/>
    <w:rPr>
      <w:u w:val="none"/>
    </w:rPr>
  </w:style>
  <w:style w:type="character" w:styleId="ListLabel49">
    <w:name w:val="ListLabel 49"/>
    <w:qFormat w:val="1"/>
    <w:rPr>
      <w:u w:val="none"/>
    </w:rPr>
  </w:style>
  <w:style w:type="character" w:styleId="ListLabel50">
    <w:name w:val="ListLabel 50"/>
    <w:qFormat w:val="1"/>
    <w:rPr>
      <w:u w:val="none"/>
    </w:rPr>
  </w:style>
  <w:style w:type="character" w:styleId="ListLabel51">
    <w:name w:val="ListLabel 51"/>
    <w:qFormat w:val="1"/>
    <w:rPr>
      <w:u w:val="none"/>
    </w:rPr>
  </w:style>
  <w:style w:type="character" w:styleId="ListLabel52">
    <w:name w:val="ListLabel 52"/>
    <w:qFormat w:val="1"/>
    <w:rPr>
      <w:u w:val="none"/>
    </w:rPr>
  </w:style>
  <w:style w:type="character" w:styleId="ListLabel53">
    <w:name w:val="ListLabel 53"/>
    <w:qFormat w:val="1"/>
    <w:rPr>
      <w:u w:val="none"/>
    </w:rPr>
  </w:style>
  <w:style w:type="character" w:styleId="ListLabel54">
    <w:name w:val="ListLabel 54"/>
    <w:qFormat w:val="1"/>
    <w:rPr>
      <w:rFonts w:cs="OpenSymbol"/>
    </w:rPr>
  </w:style>
  <w:style w:type="character" w:styleId="ListLabel55">
    <w:name w:val="ListLabel 55"/>
    <w:qFormat w:val="1"/>
    <w:rPr>
      <w:rFonts w:cs="OpenSymbol"/>
    </w:rPr>
  </w:style>
  <w:style w:type="character" w:styleId="ListLabel56">
    <w:name w:val="ListLabel 56"/>
    <w:qFormat w:val="1"/>
    <w:rPr>
      <w:rFonts w:cs="Wingdings"/>
    </w:rPr>
  </w:style>
  <w:style w:type="character" w:styleId="ListLabel57">
    <w:name w:val="ListLabel 57"/>
    <w:qFormat w:val="1"/>
    <w:rPr>
      <w:rFonts w:cs="OpenSymbol"/>
    </w:rPr>
  </w:style>
  <w:style w:type="character" w:styleId="ListLabel58">
    <w:name w:val="ListLabel 58"/>
    <w:qFormat w:val="1"/>
    <w:rPr>
      <w:rFonts w:cs="OpenSymbol"/>
    </w:rPr>
  </w:style>
  <w:style w:type="character" w:styleId="ListLabel59">
    <w:name w:val="ListLabel 59"/>
    <w:qFormat w:val="1"/>
    <w:rPr>
      <w:rFonts w:cs="Wingdings"/>
    </w:rPr>
  </w:style>
  <w:style w:type="character" w:styleId="ListLabel60">
    <w:name w:val="ListLabel 60"/>
    <w:qFormat w:val="1"/>
    <w:rPr>
      <w:rFonts w:cs="OpenSymbol"/>
    </w:rPr>
  </w:style>
  <w:style w:type="character" w:styleId="ListLabel61">
    <w:name w:val="ListLabel 61"/>
    <w:qFormat w:val="1"/>
    <w:rPr>
      <w:rFonts w:cs="OpenSymbol"/>
    </w:rPr>
  </w:style>
  <w:style w:type="paragraph" w:styleId="Heading">
    <w:name w:val="Heading"/>
    <w:basedOn w:val="Normal"/>
    <w:next w:val="TextBody"/>
    <w:qFormat w:val="1"/>
    <w:pPr>
      <w:keepNext w:val="1"/>
      <w:spacing w:after="120" w:before="240"/>
    </w:pPr>
    <w:rPr>
      <w:rFonts w:ascii="Liberation Sans" w:cs="Lohit Devanagari" w:eastAsia="AR PL SungtiL GB" w:hAnsi="Liberation Sans"/>
      <w:sz w:val="28"/>
      <w:szCs w:val="28"/>
    </w:rPr>
  </w:style>
  <w:style w:type="paragraph" w:styleId="TextBody">
    <w:name w:val="Body Text"/>
    <w:basedOn w:val="Normal"/>
    <w:pPr>
      <w:spacing w:after="140" w:before="0" w:line="276" w:lineRule="auto"/>
    </w:pPr>
    <w:rPr/>
  </w:style>
  <w:style w:type="paragraph" w:styleId="List">
    <w:name w:val="List"/>
    <w:basedOn w:val="TextBody"/>
    <w:pPr/>
    <w:rPr>
      <w:rFonts w:cs="Lohit Devanagari"/>
    </w:rPr>
  </w:style>
  <w:style w:type="paragraph" w:styleId="Caption">
    <w:name w:val="Caption"/>
    <w:basedOn w:val="Normal"/>
    <w:qFormat w:val="1"/>
    <w:pPr>
      <w:suppressLineNumbers w:val="1"/>
      <w:spacing w:after="120" w:before="120"/>
    </w:pPr>
    <w:rPr>
      <w:rFonts w:cs="Lohit Devanagari"/>
      <w:i w:val="1"/>
      <w:iCs w:val="1"/>
      <w:sz w:val="24"/>
      <w:szCs w:val="24"/>
    </w:rPr>
  </w:style>
  <w:style w:type="paragraph" w:styleId="Index">
    <w:name w:val="Index"/>
    <w:basedOn w:val="Normal"/>
    <w:qFormat w:val="1"/>
    <w:pPr>
      <w:suppressLineNumbers w:val="1"/>
    </w:pPr>
    <w:rPr>
      <w:rFonts w:cs="Lohit Devanagari"/>
    </w:rPr>
  </w:style>
  <w:style w:type="paragraph" w:styleId="LOnormal" w:default="1">
    <w:name w:val="LO-normal"/>
    <w:qFormat w:val="1"/>
    <w:pPr>
      <w:widowControl w:val="1"/>
      <w:bidi w:val="0"/>
      <w:jc w:val="left"/>
    </w:pPr>
    <w:rPr>
      <w:rFonts w:ascii="Arial" w:cs="Arial" w:eastAsia="Arial" w:hAnsi="Arial"/>
      <w:color w:val="auto"/>
      <w:kern w:val="0"/>
      <w:sz w:val="22"/>
      <w:szCs w:val="22"/>
      <w:lang w:bidi="hi-IN" w:eastAsia="zh-CN" w:val="pt-BR"/>
    </w:rPr>
  </w:style>
  <w:style w:type="paragraph" w:styleId="Header">
    <w:name w:val="Header"/>
    <w:basedOn w:val="Normal"/>
    <w:pPr/>
    <w:rPr/>
  </w:style>
  <w:style w:type="paragraph" w:styleId="Footer">
    <w:name w:val="Footer"/>
    <w:basedOn w:val="Normal"/>
    <w:pPr/>
    <w:rPr/>
  </w:style>
  <w:style w:type="table" w:styleId="TableNormal" w:default="1">
    <w:name w:val="Table Normal"/>
  </w:style>
  <w:style w:type="table" w:styleId="Table1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32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666666"/>
      <w:sz w:val="30"/>
      <w:szCs w:val="30"/>
      <w:u w:val="none"/>
      <w:shd w:fill="auto" w:val="clear"/>
      <w:vertAlign w:val="baseline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footer" Target="footer2.xml"/><Relationship Id="rId10" Type="http://schemas.openxmlformats.org/officeDocument/2006/relationships/header" Target="header2.xml"/><Relationship Id="rId9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1.png"/><Relationship Id="rId8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71c0b5FyW71vHFSZnN4O9cOWnUw==">CgMxLjAyCGguZ2pkZ3hzMgloLjMwajB6bGw4AHIhMThpOG5KY2pOLXJSYnNkNm13SEZ4NE1BY1laeWFFcDFL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