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4"/>
        <w:rPr>
          <w:rFonts w:ascii="Calibri" w:cs="Calibri" w:eastAsia="Calibri" w:hAnsi="Calibri"/>
          <w:b w:val="1"/>
          <w:bCs w:val="1"/>
          <w:color w:val="1155cc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55cc"/>
          <w:sz w:val="36"/>
          <w:szCs w:val="36"/>
          <w:rtl w:val="0"/>
        </w:rPr>
        <w:t>Precificação de combustíveis no Brasil: evolução, diferenças regionais e dispersão de preço na revenda</w:t>
      </w:r>
    </w:p>
    <w:p w:rsidR="00000000" w:rsidDel="00000000" w:rsidP="00000000" w:rsidRDefault="00000000" w:rsidRPr="00000000" w14:paraId="00000002">
      <w:pPr>
        <w:pStyle w:val="Heading2"/>
        <w:rPr>
          <w:rFonts w:ascii="Calibri" w:cs="Calibri" w:eastAsia="Calibri" w:hAnsi="Calibri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1155cc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>
          <w:rFonts w:ascii="Calibri" w:cs="Calibri" w:eastAsia="Calibri" w:hAnsi="Calibri"/>
          <w:color w:val="1155cc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1155cc"/>
          <w:sz w:val="32"/>
          <w:szCs w:val="32"/>
          <w:rtl w:val="0"/>
        </w:rPr>
        <w:t>Inteligência de Negócio (INE) - Prof. Bruno Miranda - 2º semestre de 2026</w:t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color w:val="1155cc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color w:val="1155cc"/>
          <w:rtl w:val="0"/>
        </w:rPr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>Claudio da Aparecida Meireles Filho (2321070) e Felipe Pereira Dutra (2321017)</w:t>
      </w:r>
    </w:p>
    <w:p w:rsidR="00000000" w:rsidDel="00000000" w:rsidP="00000000" w:rsidRDefault="00000000" w:rsidRPr="00000000" w14:paraId="0000000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spacing w:line="3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 empresa que você irá abordar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O estudo é feito sobre o segmento de revenda de combustíveis no Brasil, sob a ótica das distribuidoras que disputam a bomba. As empresas observadas são as que aparecem nomeadas no campo Bandeira do levantamento de preços da ANP: as maiores distribuidoras do país - Vibra Energia (bandeira BR), Ipiranga e Raízen (bandeira Shell) - e o conjunto dos postos de bandeira branca, que não têm contrato de exclusividade com nenhuma delas.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A escolha se justifica porque a ANP publica o preço coletado posto a posto com a bandeira de cada revendedor. Isso permite analisar a estratégia de preço de empresas reais, com nome e marca, sem depender de dado proprietário: a base pública já traz a informação que uma área de pricing usaria para monitorar a concorrência.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rtl w:val="0"/>
        </w:rPr>
        <w:t>O recorte é nacional, com abertura para o Distrito Federal - mercado onde a dupla mora e cujo comportamento de preço pretende comparar com o das demais unidades da federação.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Área de negócio e o tema abordado.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Área de negócio: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Precificação e Inteligência de Mercado (pricing). É a área que define o preço de bomba, acompanha o preço praticado pela concorrência em cada praça e monitora a posição competitiva da rede.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Tema: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Comportamento do preço de revenda de combustíveis no Brasil - gasolina comum, etanol hidratado e diesel S-10. O trabalho vai medir como o preço evoluiu ao longo do tempo, o quanto ele varia entre regiões e unidades da federação, qual é a dispersão de preço dentro de uma mesma cidade, em que condições o etanol se torna vantajoso frente à gasolina e se a bandeira do posto se traduz em diferença consistente de preço.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/>
          <w:rtl w:val="0"/>
        </w:rPr>
        <w:t xml:space="preserve">Por que esse tema: </w:t>
      </w:r>
      <w:r w:rsidDel="00000000" w:rsidR="00000000" w:rsidRPr="00000000">
        <w:rPr>
          <w:rFonts w:ascii="Calibri" w:cs="Calibri" w:eastAsia="Calibri" w:hAnsi="Calibri"/>
          <w:b w:val="0"/>
          <w:rtl w:val="0"/>
        </w:rPr>
        <w:t>combustível é um preço que todo consumidor acompanha e que toda rede de postos precisa decidir toda semana. A coleta da ANP é semanal, posto a posto, e está publicada desde 2004, o que dá ao projeto uma base com as três dimensões que o Power BI explora bem: geografia (região, UF e município), tempo (data da coleta) e produto/bandeira.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Quais são as perguntas que o estudo se propõe a resolver?</w:t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65"/>
        <w:gridCol w:w="4350"/>
        <w:tblGridChange w:id="0">
          <w:tblGrid>
            <w:gridCol w:w="4365"/>
            <w:gridCol w:w="435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keepNext w:val="1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Pergunta(s) negocial (ais)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Como evoluiu o preço médio de revenda da gasolina comum, do etanol hidratado e do diesel S-10 no Brasil na última década, e quanto dessa alta se sustenta depois de descontada a inflação medida pelo IPCA?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Quanto o preço do mesmo produto varia entre as regiões e as unidades da federação? Qual é a distância entre a UF mais cara e a mais barata em cada ano, e em que posição desse ranking está o Distrito Federal?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6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Qual é a dispersão de preço dentro de um mesmo município na mesma semana de coleta? Em outras palavras: quanto o consumidor economiza, em reais por litro, saindo do posto mais caro para o mais barato da sua cidade?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8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Em quais unidades da federação e em quais períodos o etanol hidratado foi vantajoso frente à gasolina comum, usando a regra de paridade de 70% entre os dois preços?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8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Existe diferença consistente de preço entre as bandeiras (BR, Ipiranga, Shell) e os postos de bandeira branca? A diferença é a mesma em todas as regiões do país?</w:t>
            </w:r>
          </w:p>
        </w:tc>
      </w:tr>
    </w:tbl>
    <w:p w:rsidR="00000000" w:rsidDel="00000000" w:rsidP="00000000" w:rsidRDefault="00000000" w:rsidRPr="00000000" w14:paraId="0000001A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Quais bases de dados serão utilizadas?  Indique o link da sua fonte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Calibri" w:cs="Calibri" w:eastAsia="Calibri" w:hAnsi="Calibri"/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rtl w:val="0"/>
        </w:rPr>
        <w:t>As três bases são públicas, de download livre e sem cadastro. A base principal é o Levantamento de Preços de Combustíveis da ANP, com a coleta semanal do preço praticado em postos revendedores por região, UF, município, produto, data da coleta, valor de venda e bandeira, publicada desde 2004. As outras duas entram como apoio: as vendas de derivados dão o volume mensal por UF e produto, usado para ponderar as médias de preço pelo tamanho de cada mercado; o IPCA entra como deflator, para separar alta real de combustível de inflação geral. Os arquivos da ANP também estão espelhados no Portal Brasileiro de Dados Abertos (dados.gov.br).</w:t>
      </w:r>
    </w:p>
    <w:tbl>
      <w:tblPr>
        <w:tblStyle w:val="Table2"/>
        <w:tblW w:w="871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  <w:tblLayout w:type="fixed"/>
        <w:tblW w:type="dxa" w:w="9072"/>
      </w:tblPr>
      <w:tblGrid>
        <w:gridCol w:w="4104"/>
        <w:gridCol w:w="4968"/>
        <w:tblGridChange w:id="0">
          <w:tblGrid>
            <w:gridCol w:w="2764"/>
            <w:gridCol w:w="5953"/>
          </w:tblGrid>
        </w:tblGridChange>
      </w:tblGrid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1D">
            <w:pPr>
              <w:keepNext w:val="1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Base de dados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1E">
            <w:pPr>
              <w:pStyle w:val="Heading1"/>
              <w:rPr>
                <w:rFonts w:ascii="Calibri" w:cs="Calibri" w:eastAsia="Calibri" w:hAnsi="Calibri"/>
                <w:sz w:val="24"/>
                <w:szCs w:val="24"/>
                <w:u w:val="none"/>
              </w:rPr>
            </w:pPr>
            <w:bookmarkStart w:colFirst="0" w:colLast="0" w:name="_heading=h.wjs3yv5xyvfr" w:id="0"/>
            <w:bookmarkEnd w:id="0"/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u w:val="none"/>
                <w:rtl w:val="0"/>
              </w:rPr>
              <w:t xml:space="preserve">Link público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1F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ANP - Série histórica de preços de combustíveis (Levantamento de Preços). Base principal.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0">
            <w:pPr>
              <w:keepNext w:val="1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https://www.gov.br/anp/pt-br/centrais-de-conteudo/dados-abertos/serie-historica-de-precos-de-combustiveis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21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ANP - Vendas de derivados de petróleo e etanol. Base de apoio (volume por UF e produto).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2">
            <w:pPr>
              <w:keepNext w:val="1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https://www.gov.br/anp/pt-br/centrais-de-conteudo/dados-abertos/vendas-de-derivados-de-petroleo-e-etanol</w:t>
            </w:r>
          </w:p>
        </w:tc>
      </w:tr>
      <w:tr>
        <w:trPr>
          <w:cantSplit w:val="0"/>
          <w:tblHeader w:val="0"/>
        </w:trPr>
        <w:tc>
          <w:tcPr>
            <w:tcW w:type="dxa" w:w="4104"/>
          </w:tcPr>
          <w:p w:rsidR="00000000" w:rsidDel="00000000" w:rsidP="00000000" w:rsidRDefault="00000000" w:rsidRPr="00000000" w14:paraId="00000023">
            <w:pPr>
              <w:keepNext w:val="1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IBGE / SIDRA - IPCA, tabela 1737. Base de apoio (deflator dos preços).</w:t>
            </w:r>
          </w:p>
        </w:tc>
        <w:tc>
          <w:tcPr>
            <w:tcW w:type="dxa" w:w="4968"/>
          </w:tcPr>
          <w:p w:rsidR="00000000" w:rsidDel="00000000" w:rsidP="00000000" w:rsidRDefault="00000000" w:rsidRPr="00000000" w14:paraId="00000024">
            <w:pPr>
              <w:keepNext w:val="1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Cs w:val="1"/>
                <w:rtl w:val="0"/>
              </w:rPr>
              <w:t>https://sidra.ibge.gov.br/tabela/1737</w:t>
            </w:r>
          </w:p>
        </w:tc>
      </w:tr>
    </w:tbl>
    <w:sectPr>
      <w:headerReference r:id="rId7" w:type="default"/>
      <w:pgSz w:h="16838" w:w="11906" w:orient="portrait"/>
      <w:pgMar w:bottom="2835" w:top="1973" w:left="1134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/>
      <w:drawing>
        <wp:inline distB="19050" distT="19050" distL="19050" distR="19050">
          <wp:extent cx="449898" cy="449898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9898" cy="44989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jc w:val="center"/>
    </w:pPr>
    <w:rPr>
      <w:b w:val="1"/>
      <w:bCs w:val="1"/>
      <w:sz w:val="40"/>
      <w:szCs w:val="40"/>
      <w:u w:val="singl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jc w:val="both"/>
    </w:pPr>
    <w:rPr>
      <w:b w:val="1"/>
      <w:b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jc w:val="center"/>
    </w:pPr>
    <w:rPr>
      <w:sz w:val="40"/>
      <w:szCs w:val="4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nhideWhenUsed w:val="1"/>
    <w:rsid w:val="00EB73E1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EB73E1"/>
  </w:style>
  <w:style w:type="paragraph" w:styleId="Rodap">
    <w:name w:val="footer"/>
    <w:basedOn w:val="Normal"/>
    <w:link w:val="RodapChar"/>
    <w:uiPriority w:val="99"/>
    <w:unhideWhenUsed w:val="1"/>
    <w:rsid w:val="00EB73E1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EB73E1"/>
  </w:style>
  <w:style w:type="character" w:styleId="Ttulo1Char" w:customStyle="1">
    <w:name w:val="Título 1 Char"/>
    <w:basedOn w:val="Fontepargpadro"/>
    <w:link w:val="Ttulo1"/>
    <w:rsid w:val="008F0A72"/>
    <w:rPr>
      <w:rFonts w:ascii="Times New Roman" w:cs="Times New Roman" w:eastAsia="Times New Roman" w:hAnsi="Times New Roman"/>
      <w:b w:val="1"/>
      <w:bCs w:val="1"/>
      <w:sz w:val="40"/>
      <w:szCs w:val="40"/>
      <w:u w:val="single"/>
    </w:rPr>
  </w:style>
  <w:style w:type="character" w:styleId="Ttulo2Char" w:customStyle="1">
    <w:name w:val="Título 2 Char"/>
    <w:basedOn w:val="Fontepargpadro"/>
    <w:link w:val="Ttulo2"/>
    <w:rsid w:val="008F0A72"/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Ttulo3Char" w:customStyle="1">
    <w:name w:val="Título 3 Char"/>
    <w:basedOn w:val="Fontepargpadro"/>
    <w:link w:val="Ttulo3"/>
    <w:rsid w:val="008F0A72"/>
    <w:rPr>
      <w:rFonts w:ascii="Times New Roman" w:cs="Times New Roman" w:eastAsia="Times New Roman" w:hAnsi="Times New Roman"/>
      <w:b w:val="1"/>
      <w:bCs w:val="1"/>
      <w:sz w:val="20"/>
      <w:szCs w:val="20"/>
    </w:rPr>
  </w:style>
  <w:style w:type="character" w:styleId="Ttulo4Char" w:customStyle="1">
    <w:name w:val="Título 4 Char"/>
    <w:basedOn w:val="Fontepargpadro"/>
    <w:link w:val="Ttulo4"/>
    <w:rsid w:val="008F0A72"/>
    <w:rPr>
      <w:rFonts w:ascii="Times New Roman" w:cs="Times New Roman" w:eastAsia="Times New Roman" w:hAnsi="Times New Roman"/>
      <w:sz w:val="40"/>
      <w:szCs w:val="20"/>
    </w:rPr>
  </w:style>
  <w:style w:type="paragraph" w:styleId="Corpodetexto2">
    <w:name w:val="Body Text 2"/>
    <w:basedOn w:val="Normal"/>
    <w:link w:val="Corpodetexto2Char"/>
    <w:rsid w:val="008F0A72"/>
    <w:pPr>
      <w:jc w:val="both"/>
    </w:pPr>
    <w:rPr>
      <w:i w:val="1"/>
      <w:iCs w:val="1"/>
    </w:rPr>
  </w:style>
  <w:style w:type="character" w:styleId="Corpodetexto2Char" w:customStyle="1">
    <w:name w:val="Corpo de texto 2 Char"/>
    <w:basedOn w:val="Fontepargpadro"/>
    <w:link w:val="Corpodetexto2"/>
    <w:rsid w:val="008F0A72"/>
    <w:rPr>
      <w:rFonts w:ascii="Times New Roman" w:cs="Times New Roman" w:eastAsia="Times New Roman" w:hAnsi="Times New Roman"/>
      <w:i w:val="1"/>
      <w:iCs w:val="1"/>
      <w:sz w:val="24"/>
      <w:szCs w:val="24"/>
    </w:rPr>
  </w:style>
  <w:style w:type="paragraph" w:styleId="Corpodetexto">
    <w:name w:val="Body Text"/>
    <w:basedOn w:val="Normal"/>
    <w:link w:val="CorpodetextoChar"/>
    <w:rsid w:val="008F0A72"/>
    <w:pPr>
      <w:spacing w:line="360" w:lineRule="auto"/>
      <w:jc w:val="both"/>
    </w:pPr>
  </w:style>
  <w:style w:type="character" w:styleId="CorpodetextoChar" w:customStyle="1">
    <w:name w:val="Corpo de texto Char"/>
    <w:basedOn w:val="Fontepargpadro"/>
    <w:link w:val="Corpodetexto"/>
    <w:rsid w:val="008F0A72"/>
    <w:rPr>
      <w:rFonts w:ascii="Times New Roman" w:cs="Times New Roman" w:eastAsia="Times New Roman" w:hAnsi="Times New Roman"/>
      <w:sz w:val="24"/>
      <w:szCs w:val="24"/>
    </w:rPr>
  </w:style>
  <w:style w:type="paragraph" w:styleId="Corpodetexto3">
    <w:name w:val="Body Text 3"/>
    <w:basedOn w:val="Normal"/>
    <w:link w:val="Corpodetexto3Char"/>
    <w:rsid w:val="008F0A72"/>
    <w:pPr>
      <w:autoSpaceDE w:val="0"/>
      <w:autoSpaceDN w:val="0"/>
      <w:jc w:val="both"/>
    </w:pPr>
    <w:rPr>
      <w:sz w:val="20"/>
      <w:szCs w:val="20"/>
    </w:rPr>
  </w:style>
  <w:style w:type="character" w:styleId="Corpodetexto3Char" w:customStyle="1">
    <w:name w:val="Corpo de texto 3 Char"/>
    <w:basedOn w:val="Fontepargpadro"/>
    <w:link w:val="Corpodetexto3"/>
    <w:rsid w:val="008F0A72"/>
    <w:rPr>
      <w:rFonts w:ascii="Times New Roman" w:cs="Times New Roman" w:eastAsia="Times New Roman" w:hAnsi="Times New Roman"/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fnxgaREncAFU1xrILKeXw32z3A==">CgMxLjAyDmgud2pzM3l2NXh5dmZyOAByITFqb2JXSzlmSGYzWHNMRGd5YXlpMXpZZEFxdzZSNGJGRA==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2021-02-23T13:43:00Z</dcterms:created>
  <dc:creator>Camila Senaque Lima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0x01010064CAFD264DBE9A44AD109CF93ADA0BEA</vt:lpwstr>
  </property>
</Properties>
</file>