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jc w:val="center"/>
      </w:pPr>
      <w:r>
        <w:rPr>
          <w:rFonts w:ascii="Times New Roman" w:cs="Times New Roman" w:eastAsia="Times New Roman" w:hAnsi="Times New Roman"/>
          <w:b/>
          <w:bCs/>
          <w:sz w:val="32"/>
          <w:szCs w:val="32"/>
        </w:rPr>
        <w:t xml:space="preserve">Do Pixel à Narrativa: Visualizações Confiáveis de Controle de Espaço em Transmissões de Futebol para o Público Geral</w:t>
      </w:r>
    </w:p>
    <w:p>
      <w:pPr>
        <w:spacing w:after="240"/>
        <w:jc w:val="center"/>
      </w:pPr>
      <w:r>
        <w:rPr>
          <w:rFonts w:ascii="Times New Roman" w:cs="Times New Roman" w:eastAsia="Times New Roman" w:hAnsi="Times New Roman"/>
          <w:b/>
          <w:bCs/>
          <w:sz w:val="24"/>
          <w:szCs w:val="24"/>
        </w:rPr>
        <w:t xml:space="preserve">Claudio Meireles Filho, Felipe Pereira, Lucas Ungarelli, Pedro Araújo</w:t>
      </w:r>
    </w:p>
    <w:p>
      <w:pPr>
        <w:spacing w:after="240"/>
        <w:jc w:val="center"/>
      </w:pPr>
      <w:r>
        <w:rPr>
          <w:rFonts w:ascii="Times New Roman" w:cs="Times New Roman" w:eastAsia="Times New Roman" w:hAnsi="Times New Roman"/>
          <w:sz w:val="24"/>
          <w:szCs w:val="24"/>
        </w:rPr>
        <w:t xml:space="preserve">Instituto Brasileiro de Ensino, Desenvolvimento e Pesquisa (IDP)</w:t>
      </w:r>
    </w:p>
    <w:p>
      <w:pPr>
        <w:spacing w:before="240"/>
        <w:ind w:left="454" w:right="454"/>
        <w:jc w:val="both"/>
      </w:pPr>
      <w:r>
        <w:rPr>
          <w:rFonts w:ascii="Times New Roman" w:cs="Times New Roman" w:eastAsia="Times New Roman" w:hAnsi="Times New Roman"/>
          <w:b/>
          <w:bCs/>
          <w:i/>
          <w:iCs/>
          <w:sz w:val="24"/>
          <w:szCs w:val="24"/>
        </w:rPr>
        <w:t xml:space="preserve">Resumo. </w:t>
      </w:r>
      <w:r>
        <w:rPr>
          <w:rFonts w:ascii="Times New Roman" w:cs="Times New Roman" w:eastAsia="Times New Roman" w:hAnsi="Times New Roman"/>
          <w:i w:val="false"/>
          <w:iCs w:val="false"/>
          <w:sz w:val="24"/>
          <w:szCs w:val="24"/>
        </w:rPr>
        <w:t xml:space="preserve">Modelos de controle de espaço, que estimam qual equipe domina cada região do campo [Spearman et al. 2017], dependem de rastreamento proprietário e raramente chegam ao público. Este trabalho propõe converter jogos gravados de transmissão em narrativas visuais para espectadores leigos. A metodologia combina detecção de atletas, registro do campo por homografia em quadros-chave, uma análise de sensibilidade que define o que pode ser exibido e um estudo com usuários. Espera-se como resultado uma interface que melhore a compreensão das jogadas sem apresentar informações pouco confiáveis.</w:t>
      </w:r>
    </w:p>
    <w:p>
      <w:pPr>
        <w:spacing w:before="120"/>
        <w:ind w:left="454" w:right="454"/>
        <w:jc w:val="both"/>
      </w:pPr>
      <w:r>
        <w:rPr>
          <w:rFonts w:ascii="Times New Roman" w:cs="Times New Roman" w:eastAsia="Times New Roman" w:hAnsi="Times New Roman"/>
          <w:b/>
          <w:bCs/>
          <w:sz w:val="24"/>
          <w:szCs w:val="24"/>
        </w:rPr>
        <w:t xml:space="preserve">Palavras-chave: </w:t>
      </w:r>
      <w:r>
        <w:rPr>
          <w:rFonts w:ascii="Times New Roman" w:cs="Times New Roman" w:eastAsia="Times New Roman" w:hAnsi="Times New Roman"/>
          <w:sz w:val="24"/>
          <w:szCs w:val="24"/>
        </w:rPr>
        <w:t xml:space="preserve">visão computacional, homografia, análise esportiva, narrativa com dados, interação humano-computador</w:t>
      </w:r>
    </w:p>
    <w:p>
      <w:pPr>
        <w:spacing w:before="240"/>
        <w:ind w:left="454" w:right="454"/>
        <w:jc w:val="both"/>
      </w:pPr>
      <w:r>
        <w:rPr>
          <w:rFonts w:ascii="Times New Roman" w:cs="Times New Roman" w:eastAsia="Times New Roman" w:hAnsi="Times New Roman"/>
          <w:b/>
          <w:bCs/>
          <w:i/>
          <w:iCs/>
          <w:sz w:val="24"/>
          <w:szCs w:val="24"/>
        </w:rPr>
        <w:t xml:space="preserve">Abstract. </w:t>
      </w:r>
      <w:r>
        <w:rPr>
          <w:rFonts w:ascii="Times New Roman" w:cs="Times New Roman" w:eastAsia="Times New Roman" w:hAnsi="Times New Roman"/>
          <w:i/>
          <w:iCs/>
          <w:sz w:val="24"/>
          <w:szCs w:val="24"/>
        </w:rPr>
        <w:t xml:space="preserve">Pitch control models, which estimate which team dominates each region of the field [Spearman et al. 2017], depend on proprietary tracking and rarely reach the public. This work proposes turning recorded broadcast matches into visual narratives for lay viewers. The methodology combines player detection, keyframe-based field registration through homography, a sensitivity analysis that defines what may be displayed, and a user study. The expected result is an interface that improves the understanding of plays without presenting unreliable information.</w:t>
      </w:r>
    </w:p>
    <w:p>
      <w:pPr>
        <w:spacing w:before="120"/>
        <w:ind w:left="454" w:right="454"/>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computer vision, homography, sports analytics, data storytelling, human-computer interaction</w:t>
      </w:r>
    </w:p>
    <w:p>
      <w:pPr>
        <w:spacing w:after="120" w:before="240"/>
      </w:pPr>
      <w:r>
        <w:rPr>
          <w:rFonts w:ascii="Times New Roman" w:cs="Times New Roman" w:eastAsia="Times New Roman" w:hAnsi="Times New Roman"/>
          <w:b/>
          <w:bCs/>
          <w:sz w:val="26"/>
          <w:szCs w:val="26"/>
        </w:rPr>
        <w:t xml:space="preserve">Introdução</w:t>
      </w:r>
    </w:p>
    <w:p>
      <w:pPr>
        <w:spacing w:before="120"/>
        <w:jc w:val="both"/>
      </w:pPr>
      <w:r>
        <w:rPr>
          <w:rFonts w:ascii="Times New Roman" w:cs="Times New Roman" w:eastAsia="Times New Roman" w:hAnsi="Times New Roman"/>
          <w:i w:val="false"/>
          <w:iCs w:val="false"/>
          <w:sz w:val="24"/>
          <w:szCs w:val="24"/>
        </w:rPr>
        <w:t xml:space="preserve">O uso de dados de rastreamento transformou a análise tática no futebol profissional. Sistemas ópticos registram a posição de todos os atletas e da bola várias vezes por segundo, e Bialkowski et al. (2014) mostraram que essas trajetórias permitem identificar formações e papéis táticos ao longo de uma temporada inteira. Desses dados derivam métricas que hoje orientam decisões de escalação, contratação e preparação física nos clubes.</w:t>
      </w:r>
    </w:p>
    <w:p>
      <w:pPr>
        <w:spacing w:before="120"/>
        <w:ind w:firstLine="720"/>
        <w:jc w:val="both"/>
      </w:pPr>
      <w:r>
        <w:rPr>
          <w:rFonts w:ascii="Times New Roman" w:cs="Times New Roman" w:eastAsia="Times New Roman" w:hAnsi="Times New Roman"/>
          <w:i w:val="false"/>
          <w:iCs w:val="false"/>
          <w:sz w:val="24"/>
          <w:szCs w:val="24"/>
        </w:rPr>
        <w:t xml:space="preserve">Esse conhecimento, porém, quase não chega ao público, por três motivos. O primeiro é o acesso: os dados vêm de sistemas instalados nos estádios e são comercializados sob contratos exclusivos. O segundo é a linguagem: as métricas são grandezas probabilísticas, pensadas para analistas, e não para quem assiste ao jogo. O terceiro é o formato da transmissão, que dispõe de poucos segundos para cada gráfico e por isso se limita a números simples, como posse de bola e finalizações. O resultado é que o espectador ouve os comentaristas falarem de espaço, compactação ou organização coletiva, mas raramente consegue enxergar esses conceitos no lance, dificuldade também relatada entre torcedores casuais de basquete [Chen et al. 2023].</w:t>
      </w:r>
    </w:p>
    <w:p>
      <w:pPr>
        <w:spacing w:before="120"/>
        <w:ind w:firstLine="720"/>
        <w:jc w:val="both"/>
      </w:pPr>
      <w:r>
        <w:rPr>
          <w:rFonts w:ascii="Times New Roman" w:cs="Times New Roman" w:eastAsia="Times New Roman" w:hAnsi="Times New Roman"/>
          <w:i w:val="false"/>
          <w:iCs w:val="false"/>
          <w:sz w:val="24"/>
          <w:szCs w:val="24"/>
        </w:rPr>
        <w:t xml:space="preserve">Um exemplo evidencia a distância. O modelo de controle de espaço de Spearman et al. (2017), base de boa parte da análise moderna, atribui a cada ponto do campo a probabilidade de cada atleta alcançá-lo primeiro, calculada a partir de sua posição, velocidade, aceleração máxima e tempo de reação; com ele, os autores preveem a equipe que receberá um passe com 81% de acurácia. Fernández et al. (2021) vão além e combinam controle de espaço, probabilidade de passe e chance de finalização no valor esperado da posse, um número no intervalo de −1 a 1 que resume, a cada instante, a expectativa de a jogada terminar em gol a favor ou contra. São ferramentas poderosas, mas um valor esperado de 0,07 nada diz a um espectador sem formação técnica. A informação existe; falta traduzi-la.</w:t>
      </w:r>
    </w:p>
    <w:p>
      <w:pPr>
        <w:spacing w:before="120"/>
        <w:ind w:firstLine="720"/>
        <w:jc w:val="both"/>
      </w:pPr>
      <w:r>
        <w:rPr>
          <w:rFonts w:ascii="Times New Roman" w:cs="Times New Roman" w:eastAsia="Times New Roman" w:hAnsi="Times New Roman"/>
          <w:i w:val="false"/>
          <w:iCs w:val="false"/>
          <w:sz w:val="24"/>
          <w:szCs w:val="24"/>
        </w:rPr>
        <w:t xml:space="preserve">A visão computacional oferece um caminho para estimar essas posições a partir do próprio vídeo da transmissão. A tarefa de reconstrução do estado de jogo do SoccerNet [Somers et al. 2024] disponibiliza sequências anotadas com a posição dos atletas no campo, e Theiner e Ewerth (2023) tratam o registro do campo como um problema de calibração de câmera. A transmissão, contudo, impõe duas dificuldades. A câmera principal não é fixa: gira e aproxima a imagem continuamente para acompanhar a bola, o que obriga a recalcular a cada quadro a correspondência entre imagem e gramado. Além disso, a transmissão alterna entre várias câmeras, com planos abertos, closes e replays; o SoccerNet-v2 distingue 13 tipos de câmera em jogos televisionados [Deliège et al. 2021]. Métricas calculadas diretamente sobre a imagem, sem considerar essas mudanças, variam com o enquadramento, e não com o comportamento das equipes.</w:t>
      </w:r>
    </w:p>
    <w:p>
      <w:pPr>
        <w:spacing w:before="120"/>
        <w:ind w:firstLine="720"/>
        <w:jc w:val="both"/>
      </w:pPr>
      <w:r>
        <w:rPr>
          <w:rFonts w:ascii="Times New Roman" w:cs="Times New Roman" w:eastAsia="Times New Roman" w:hAnsi="Times New Roman"/>
          <w:i w:val="false"/>
          <w:iCs w:val="false"/>
          <w:sz w:val="24"/>
          <w:szCs w:val="24"/>
        </w:rPr>
        <w:t xml:space="preserve">Na visualização de dados esportivos, Perin et al. (2018) organizam um campo em expansão. O SoccerStories [Perin et al. 2013] apoia analistas na comunicação de fases do jogo de futebol, sem se sobrepor ao vídeo, enquanto o VisCommentator [Chen et al. 2022] e o iBall [Chen et al. 2023] inserem visualizações diretamente em vídeos de tênis de mesa e de basquete. Esses sistemas operam em quadras pequenas, com poucos atletas e câmera praticamente fixa, e nenhum deles verifica se as visualizações exibidas continuam verdadeiras diante do erro da medição automática.</w:t>
      </w:r>
    </w:p>
    <w:p>
      <w:pPr>
        <w:spacing w:before="120"/>
        <w:ind w:firstLine="720"/>
        <w:jc w:val="both"/>
      </w:pPr>
      <w:r>
        <w:rPr>
          <w:rFonts w:ascii="Times New Roman" w:cs="Times New Roman" w:eastAsia="Times New Roman" w:hAnsi="Times New Roman"/>
          <w:i w:val="false"/>
          <w:iCs w:val="false"/>
          <w:sz w:val="24"/>
          <w:szCs w:val="24"/>
        </w:rPr>
        <w:t xml:space="preserve">Este artigo propõe levar o controle de espaço de jogos gravados de transmissão ao espectador leigo, exibindo apenas o que resiste ao erro de medição. Para isso, combina um método de registro do campo por quadros-chave, aplicável a jogos gravados sem detectores treinados, uma regra que decide quais visualizações podem ser mostradas ao público em função do erro medido e uma interface narrativa avaliada com espectadores.</w:t>
      </w:r>
    </w:p>
    <w:p>
      <w:pPr>
        <w:spacing w:after="120" w:before="240"/>
      </w:pPr>
      <w:r>
        <w:rPr>
          <w:rFonts w:ascii="Times New Roman" w:cs="Times New Roman" w:eastAsia="Times New Roman" w:hAnsi="Times New Roman"/>
          <w:b/>
          <w:bCs/>
          <w:sz w:val="26"/>
          <w:szCs w:val="26"/>
        </w:rPr>
        <w:t xml:space="preserve">Concepções das regras do futebol</w:t>
      </w:r>
    </w:p>
    <w:p>
      <w:pPr>
        <w:spacing w:before="120"/>
        <w:jc w:val="both"/>
      </w:pPr>
      <w:r>
        <w:rPr>
          <w:rFonts w:ascii="Times New Roman" w:cs="Times New Roman" w:eastAsia="Times New Roman" w:hAnsi="Times New Roman"/>
          <w:i w:val="false"/>
          <w:iCs w:val="false"/>
          <w:sz w:val="24"/>
          <w:szCs w:val="24"/>
        </w:rPr>
        <w:t xml:space="preserve">As Regras do Jogo, mantidas pela International Football Association Board, fixam limites para as dimensões do campo: em partidas internacionais, entre 100 e 110 metros de comprimento e entre 64 e 75 metros de largura [IFAB 2026]. As marcações internas, por outro lado, têm medidas fixas: a grande área se estende 16,5 metros a partir da linha de fundo, a pequena área 5,5 metros, a marca do pênalti fica a 11 metros do gol e o círculo central tem 9,15 metros de raio. Este trabalho adota o campo de 105 por 68 metros, comum em estádios de competições internacionais. É essa padronização que torna o problema tratável: as linhas do gramado formam um alvo de calibração de geometria conhecida, filmado por uma câmera que se move.</w:t>
      </w:r>
    </w:p>
    <w:p>
      <w:pPr>
        <w:spacing w:before="120"/>
        <w:ind w:firstLine="720"/>
        <w:jc w:val="both"/>
      </w:pPr>
      <w:r>
        <w:rPr>
          <w:rFonts w:ascii="Times New Roman" w:cs="Times New Roman" w:eastAsia="Times New Roman" w:hAnsi="Times New Roman"/>
          <w:i w:val="false"/>
          <w:iCs w:val="false"/>
          <w:sz w:val="24"/>
          <w:szCs w:val="24"/>
        </w:rPr>
        <w:t xml:space="preserve">A posse de bola, por sua vez, não é definida pelas regras e precisa ser operacionalizada. Adota-se a convenção usual da análise de desempenho: uma equipe mantém a posse enquanto a bola circula entre seus jogadores, inclusive durante um passe, e só a perde quando o adversário domina a bola ou quando a bola sai de jogo. No sistema, domínio significa um atleta a menos de 2 metros da bola por alguns quadros consecutivos.</w:t>
      </w:r>
    </w:p>
    <w:p>
      <w:pPr>
        <w:spacing w:before="120"/>
        <w:ind w:firstLine="720"/>
        <w:jc w:val="both"/>
      </w:pPr>
      <w:r>
        <w:rPr>
          <w:rFonts w:ascii="Times New Roman" w:cs="Times New Roman" w:eastAsia="Times New Roman" w:hAnsi="Times New Roman"/>
          <w:i w:val="false"/>
          <w:iCs w:val="false"/>
          <w:sz w:val="24"/>
          <w:szCs w:val="24"/>
        </w:rPr>
        <w:t xml:space="preserve">O controle de espaço estende a noção de região dominante de Taki e Hasegawa (2000): cada ponto do campo pertence à equipe cujo atleta chegaria primeiro a ele, considerando não apenas a distância, mas a velocidade e a direção do movimento de cada jogador. É por isso que a análise exige vídeo, e não imagens isoladas: um jogador próximo que corre na direção oposta chega depois de outro mais distante que já se desloca para o ponto. Fernández e Bornn (2018) usam essa formulação para medir como as equipes criam e ocupam espaços fora da posse de bola.</w:t>
      </w:r>
    </w:p>
    <w:p>
      <w:pPr>
        <w:spacing w:before="120"/>
        <w:ind w:firstLine="720"/>
        <w:jc w:val="both"/>
      </w:pPr>
      <w:r>
        <w:rPr>
          <w:rFonts w:ascii="Times New Roman" w:cs="Times New Roman" w:eastAsia="Times New Roman" w:hAnsi="Times New Roman"/>
          <w:i w:val="false"/>
          <w:iCs w:val="false"/>
          <w:sz w:val="24"/>
          <w:szCs w:val="24"/>
        </w:rPr>
        <w:t xml:space="preserve">A narrativa da interface, por fim, apoia-se nas fases do jogo usadas pelos analistas. A construção corresponde à posse no próprio campo; o ataque, à posse no campo adversário; a transição, aos instantes que se seguem a uma troca de posse, quando as equipes ainda não se reorganizaram; e a finalização, à chegada perto do gol com espaço livre. Para o sistema, a finalização exige a bola a menos de 20 metros do gol adversário e o defensor mais próximo a mais de 5 metros. Como essas distâncias são medidas com erro, cada limiar tem uma faixa de tolerância: só se deixa a finalização acima de 23 metros ou com um defensor a menos de 3,5 metros, o que evita que a interface alterne de estado a cada quadro quando um jogador está perto do limite.</w:t>
      </w:r>
    </w:p>
    <w:p>
      <w:pPr>
        <w:spacing w:after="120" w:before="240"/>
      </w:pPr>
      <w:r>
        <w:rPr>
          <w:rFonts w:ascii="Times New Roman" w:cs="Times New Roman" w:eastAsia="Times New Roman" w:hAnsi="Times New Roman"/>
          <w:b/>
          <w:bCs/>
          <w:sz w:val="26"/>
          <w:szCs w:val="26"/>
        </w:rPr>
        <w:t xml:space="preserve">Metodologia</w:t>
      </w:r>
    </w:p>
    <w:p>
      <w:pPr>
        <w:spacing w:before="120"/>
        <w:jc w:val="both"/>
      </w:pPr>
      <w:r>
        <w:rPr>
          <w:rFonts w:ascii="Times New Roman" w:cs="Times New Roman" w:eastAsia="Times New Roman" w:hAnsi="Times New Roman"/>
          <w:i w:val="false"/>
          <w:iCs w:val="false"/>
          <w:sz w:val="24"/>
          <w:szCs w:val="24"/>
        </w:rPr>
        <w:t xml:space="preserve">A pesquisa começará por um levantamento exploratório, aplicado por formulário online anônimo a dois públicos: pessoas que trabalham com futebol, como treinadores, analistas e jornalistas, e espectadores sem vínculo com o esporte. O objetivo é caracterizar a dificuldade de compreender as informações táticas nas transmissões, identificar os conceitos que o público mais deseja entender e verificar se a exibição de informações ocasionalmente erradas afetaria a confiança do espectador, premissa central deste trabalho. O levantamento cumpre o papel do estudo formativo realizado no desenvolvimento do iBall [Chen et al. 2023].</w:t>
      </w:r>
    </w:p>
    <w:p>
      <w:pPr>
        <w:spacing w:before="120"/>
        <w:ind w:firstLine="720"/>
        <w:jc w:val="both"/>
      </w:pPr>
      <w:r>
        <w:rPr>
          <w:rFonts w:ascii="Times New Roman" w:cs="Times New Roman" w:eastAsia="Times New Roman" w:hAnsi="Times New Roman"/>
          <w:i w:val="false"/>
          <w:iCs w:val="false"/>
          <w:sz w:val="24"/>
          <w:szCs w:val="24"/>
        </w:rPr>
        <w:t xml:space="preserve">O sistema processará exclusivamente jogos gravados de transmissão televisiva, de forma offline, o que dispensa a exigência de tempo real e torna viável a anotação manual de alguns quadros. As medições quantitativas usarão o SoccerNet-GSR [Somers et al. 2024], cujas posições de referência em coordenadas do campo permitem calcular o erro de cada etapa.</w:t>
      </w:r>
    </w:p>
    <w:p>
      <w:pPr>
        <w:spacing w:before="120"/>
        <w:ind w:firstLine="720"/>
        <w:jc w:val="both"/>
      </w:pPr>
      <w:r>
        <w:rPr>
          <w:rFonts w:ascii="Times New Roman" w:cs="Times New Roman" w:eastAsia="Times New Roman" w:hAnsi="Times New Roman"/>
          <w:i w:val="false"/>
          <w:iCs w:val="false"/>
          <w:sz w:val="24"/>
          <w:szCs w:val="24"/>
        </w:rPr>
        <w:t xml:space="preserve">A extração parte da implementação de código aberto de Tryolabs (2022), da qual se herdam o rastreamento, feito com a biblioteca Norfair, e a classificação de equipes por faixas de cor no espaço HSV. A detecção de atletas e da bola usará o modelo YOLOv8 [Jocher et al. 2023], complementado por inferência fatiada para a bola, objeto pequeno e frequentemente borrado [Akyon et al. 2022]. Antes disso, cada vídeo será segmentado em planos de câmera: os cortes serão detectados pela distância de Bhattacharyya entre histogramas de cor de quadros consecutivos, e os planos abertos da câmera principal, os únicos em que as linhas do campo aparecem em número suficiente, serão reconhecidos pela proporção de pixels de gramado. Closes, replays e demais câmeras serão descartados.</w:t>
      </w:r>
    </w:p>
    <w:p>
      <w:pPr>
        <w:spacing w:before="120"/>
        <w:ind w:firstLine="720"/>
        <w:jc w:val="both"/>
      </w:pPr>
      <w:r>
        <w:rPr>
          <w:rFonts w:ascii="Times New Roman" w:cs="Times New Roman" w:eastAsia="Times New Roman" w:hAnsi="Times New Roman"/>
          <w:i w:val="false"/>
          <w:iCs w:val="false"/>
          <w:sz w:val="24"/>
          <w:szCs w:val="24"/>
        </w:rPr>
        <w:t xml:space="preserve">Em cada plano aberto, alguns quadros-chave terão marcos do campo anotados manualmente, escolhidos entre 29 pontos de posição conhecida definidos pelas medidas oficiais, como os cantos das áreas e as interseções do círculo central e do arco da grande área. A partir deles, a homografia entre imagem e gramado será estimada pelo algoritmo DLT com normalização de Hartley e rejeição robusta de correspondências espúrias. Entre quadros-chave, a homografia será propagada pelo movimento de câmera estimado quadro a quadro e reancorada nas duas chaves vizinhas, procedimento que, em simulação, reduziu o erro médio de 0,85 para 0,50 metro. Cada atleta será representado pelo ponto médio da base de sua caixa delimitadora, que aproxima o contato dos pés com o gramado, e as posições projetadas serão suavizadas por filtro de Savitzky-Golay para o cálculo das velocidades.</w:t>
      </w:r>
    </w:p>
    <w:p>
      <w:pPr>
        <w:spacing w:before="120"/>
        <w:ind w:firstLine="720"/>
        <w:jc w:val="both"/>
      </w:pPr>
      <w:r>
        <w:rPr>
          <w:rFonts w:ascii="Times New Roman" w:cs="Times New Roman" w:eastAsia="Times New Roman" w:hAnsi="Times New Roman"/>
          <w:i w:val="false"/>
          <w:iCs w:val="false"/>
          <w:sz w:val="24"/>
          <w:szCs w:val="24"/>
        </w:rPr>
        <w:t xml:space="preserve">Sobre essas posições serão calculados a posse de bola e o controle de espaço, conforme as concepções apresentadas acima; o controle usará o tempo até a interceptação de cada atleta, convertido em probabilidade no espírito de Spearman et al. (2017), numa grade de 3 metros. Para decidir o que pode ser exibido ao público, uma análise de Monte Carlo perturbará o registro com erros médios de 0 a 3 metros e medirá o desvio induzido em cada métrica; uma visualização só será exibida se todas as métricas que a sustentam permanecerem abaixo de 5% de erro relativo no erro de registro efetivamente medido. Simulações preliminares indicam que métricas coletivas, como o controle de espaço de uma equipe, toleram erros bem maiores que as individuais, como a identidade do atleta que domina cada ponto, o que orienta a interface para visualizações coletivas.</w:t>
      </w:r>
    </w:p>
    <w:p>
      <w:pPr>
        <w:spacing w:before="120"/>
        <w:ind w:firstLine="720"/>
        <w:jc w:val="both"/>
      </w:pPr>
      <w:r>
        <w:rPr>
          <w:rFonts w:ascii="Times New Roman" w:cs="Times New Roman" w:eastAsia="Times New Roman" w:hAnsi="Times New Roman"/>
          <w:i w:val="false"/>
          <w:iCs w:val="false"/>
          <w:sz w:val="24"/>
          <w:szCs w:val="24"/>
        </w:rPr>
        <w:t xml:space="preserve">A interface será um player web que sincroniza essas informações com o vídeo gravado. Uma máquina de estados classificará cada instante segundo as fases do jogo e exibirá uma legenda em linguagem comum, enquanto as zonas de controle e a forma das equipes são projetadas sobre a imagem pela homografia de cada quadro, acompanhando o movimento da câmera. Visualizações bloqueadas pela regra de exibição permanecerão ocultas, com a explicação do motivo ao espectador. A Figura 1 mostra o protótipo com uma jogada sintética.</w:t>
      </w:r>
    </w:p>
    <w:p>
      <w:pPr>
        <w:spacing w:before="240"/>
        <w:jc w:val="center"/>
      </w:pPr>
      <w:r>
        <w:drawing>
          <wp:inline distT="0" distB="0" distL="0" distR="0">
            <wp:extent cx="43815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3190875"/>
                    </a:xfrm>
                    <a:prstGeom prst="rect">
                      <a:avLst/>
                    </a:prstGeom>
                  </pic:spPr>
                </pic:pic>
              </a:graphicData>
            </a:graphic>
          </wp:inline>
        </w:drawing>
      </w:r>
    </w:p>
    <w:p>
      <w:pPr>
        <w:spacing w:after="120" w:before="120"/>
        <w:ind w:left="454" w:right="454"/>
        <w:jc w:val="both"/>
      </w:pPr>
      <w:r>
        <w:rPr>
          <w:rFonts w:ascii="Helvetica" w:cs="Helvetica" w:eastAsia="Helvetica" w:hAnsi="Helvetica"/>
          <w:b/>
          <w:bCs/>
          <w:sz w:val="20"/>
          <w:szCs w:val="20"/>
        </w:rPr>
        <w:t xml:space="preserve">Figura 1. Protótipo do player com jogada sintética: zonas de controle e forma das equipes projetadas pela homografia do quadro, com a legenda narrativa do estado de finalização.</w:t>
      </w:r>
    </w:p>
    <w:p>
      <w:pPr>
        <w:spacing w:before="120"/>
        <w:ind w:firstLine="720"/>
        <w:jc w:val="both"/>
      </w:pPr>
      <w:r>
        <w:rPr>
          <w:rFonts w:ascii="Times New Roman" w:cs="Times New Roman" w:eastAsia="Times New Roman" w:hAnsi="Times New Roman"/>
          <w:i w:val="false"/>
          <w:iCs w:val="false"/>
          <w:sz w:val="24"/>
          <w:szCs w:val="24"/>
        </w:rPr>
        <w:t xml:space="preserve">A interface será avaliada num estudo intrassujeitos contra um mapa tático estático, recurso usual das transmissões. Vinte e quatro espectadores leigos assistirão a doze clipes, divididos entre as duas condições com contrabalanceamento da ordem, e responderão a perguntas de compreensão sobre as jogadas, com gabarito definido antes da coleta; a carga de trabalho percebida será medida pelo NASA-TLX [Hart e Staveland 1988]. As condições serão comparadas pelo teste de postos sinalizados de Wilcoxon com correção de Holm. Uma simulação de poder indica que, com 18 perguntas por condição, esse número de participantes detecta um ganho de 12 pontos percentuais de acurácia com probabilidade de 0,83. A Tabela 1 resume as medições previstas.</w:t>
      </w:r>
    </w:p>
    <w:p>
      <w:pPr>
        <w:spacing w:after="120" w:before="120"/>
        <w:jc w:val="center"/>
      </w:pPr>
      <w:r>
        <w:rPr>
          <w:rFonts w:ascii="Helvetica" w:cs="Helvetica" w:eastAsia="Helvetica" w:hAnsi="Helvetica"/>
          <w:b/>
          <w:bCs/>
          <w:sz w:val="20"/>
          <w:szCs w:val="20"/>
        </w:rPr>
        <w:t xml:space="preserve">Tabela 1. Medições previstas em cada etapa da pesquisa</w:t>
      </w:r>
    </w:p>
    <w:tbl>
      <w:tblPr>
        <w:tblW w:type="dxa" w:w="8504"/>
        <w:tblBorders>
          <w:top w:val="single" w:color="000000" w:sz="6"/>
          <w:left w:val="single" w:color="000000" w:sz="6"/>
          <w:bottom w:val="single" w:color="000000" w:sz="6"/>
          <w:right w:val="single" w:color="000000" w:sz="6"/>
          <w:insideH w:val="single" w:color="808080" w:sz="4"/>
          <w:insideV w:val="single" w:color="808080" w:sz="4"/>
        </w:tblBorders>
      </w:tblPr>
      <w:tblGrid>
        <w:gridCol w:w="2900"/>
        <w:gridCol w:w="5604"/>
      </w:tblGrid>
      <w:tr>
        <w:trPr>
          <w:tblHeader/>
        </w:trPr>
        <w:tc>
          <w:tcPr>
            <w:tcW w:type="dxa" w:w="2900"/>
            <w:shd w:fill="F2F2F2" w:val="clear"/>
            <w:tcMar>
              <w:top w:type="dxa" w:w="60"/>
              <w:left w:type="dxa" w:w="100"/>
              <w:bottom w:type="dxa" w:w="60"/>
              <w:right w:type="dxa" w:w="100"/>
            </w:tcMar>
          </w:tcPr>
          <w:p>
            <w:pPr>
              <w:spacing w:after="40" w:before="40"/>
            </w:pPr>
            <w:r>
              <w:rPr>
                <w:rFonts w:ascii="Times New Roman" w:cs="Times New Roman" w:eastAsia="Times New Roman" w:hAnsi="Times New Roman"/>
                <w:b/>
                <w:bCs/>
                <w:sz w:val="20"/>
                <w:szCs w:val="20"/>
              </w:rPr>
              <w:t xml:space="preserve">Etapa</w:t>
            </w:r>
          </w:p>
        </w:tc>
        <w:tc>
          <w:tcPr>
            <w:tcW w:type="dxa" w:w="5604"/>
            <w:shd w:fill="F2F2F2" w:val="clear"/>
            <w:tcMar>
              <w:top w:type="dxa" w:w="60"/>
              <w:left w:type="dxa" w:w="100"/>
              <w:bottom w:type="dxa" w:w="60"/>
              <w:right w:type="dxa" w:w="100"/>
            </w:tcMar>
          </w:tcPr>
          <w:p>
            <w:pPr>
              <w:spacing w:after="40" w:before="40"/>
            </w:pPr>
            <w:r>
              <w:rPr>
                <w:rFonts w:ascii="Times New Roman" w:cs="Times New Roman" w:eastAsia="Times New Roman" w:hAnsi="Times New Roman"/>
                <w:b/>
                <w:bCs/>
                <w:sz w:val="20"/>
                <w:szCs w:val="20"/>
              </w:rPr>
              <w:t xml:space="preserve">Medição</w:t>
            </w:r>
          </w:p>
        </w:tc>
      </w:tr>
      <w:tr>
        <w:trPr>
          <w:tblHeader w:val="false"/>
        </w:trPr>
        <w:tc>
          <w:tcPr>
            <w:tcW w:type="dxa" w:w="2900"/>
            <w:tcMar>
              <w:top w:type="dxa" w:w="60"/>
              <w:left w:type="dxa" w:w="100"/>
              <w:bottom w:type="dxa" w:w="60"/>
              <w:right w:type="dxa" w:w="100"/>
            </w:tcMar>
          </w:tcPr>
          <w:p>
            <w:pPr>
              <w:spacing w:after="40" w:before="40"/>
            </w:pPr>
            <w:r>
              <w:rPr>
                <w:rFonts w:ascii="Times New Roman" w:cs="Times New Roman" w:eastAsia="Times New Roman" w:hAnsi="Times New Roman"/>
                <w:b w:val="false"/>
                <w:bCs w:val="false"/>
                <w:sz w:val="20"/>
                <w:szCs w:val="20"/>
              </w:rPr>
              <w:t xml:space="preserve">Levantamento exploratório</w:t>
            </w:r>
          </w:p>
        </w:tc>
        <w:tc>
          <w:tcPr>
            <w:tcW w:type="dxa" w:w="5604"/>
            <w:tcMar>
              <w:top w:type="dxa" w:w="60"/>
              <w:left w:type="dxa" w:w="100"/>
              <w:bottom w:type="dxa" w:w="60"/>
              <w:right w:type="dxa" w:w="100"/>
            </w:tcMar>
          </w:tcPr>
          <w:p>
            <w:pPr>
              <w:spacing w:after="40" w:before="40"/>
            </w:pPr>
            <w:r>
              <w:rPr>
                <w:rFonts w:ascii="Times New Roman" w:cs="Times New Roman" w:eastAsia="Times New Roman" w:hAnsi="Times New Roman"/>
                <w:b w:val="false"/>
                <w:bCs w:val="false"/>
                <w:sz w:val="20"/>
                <w:szCs w:val="20"/>
              </w:rPr>
              <w:t xml:space="preserve">Dificuldades relatadas e conceitos desejados, por perfil de respondente</w:t>
            </w:r>
          </w:p>
        </w:tc>
      </w:tr>
      <w:tr>
        <w:trPr>
          <w:tblHeader w:val="false"/>
        </w:trPr>
        <w:tc>
          <w:tcPr>
            <w:tcW w:type="dxa" w:w="2900"/>
            <w:tcMar>
              <w:top w:type="dxa" w:w="60"/>
              <w:left w:type="dxa" w:w="100"/>
              <w:bottom w:type="dxa" w:w="60"/>
              <w:right w:type="dxa" w:w="100"/>
            </w:tcMar>
          </w:tcPr>
          <w:p>
            <w:pPr>
              <w:spacing w:after="40" w:before="40"/>
            </w:pPr>
            <w:r>
              <w:rPr>
                <w:rFonts w:ascii="Times New Roman" w:cs="Times New Roman" w:eastAsia="Times New Roman" w:hAnsi="Times New Roman"/>
                <w:b w:val="false"/>
                <w:bCs w:val="false"/>
                <w:sz w:val="20"/>
                <w:szCs w:val="20"/>
              </w:rPr>
              <w:t xml:space="preserve">Segmentação em planos</w:t>
            </w:r>
          </w:p>
        </w:tc>
        <w:tc>
          <w:tcPr>
            <w:tcW w:type="dxa" w:w="5604"/>
            <w:tcMar>
              <w:top w:type="dxa" w:w="60"/>
              <w:left w:type="dxa" w:w="100"/>
              <w:bottom w:type="dxa" w:w="60"/>
              <w:right w:type="dxa" w:w="100"/>
            </w:tcMar>
          </w:tcPr>
          <w:p>
            <w:pPr>
              <w:spacing w:after="40" w:before="40"/>
            </w:pPr>
            <w:r>
              <w:rPr>
                <w:rFonts w:ascii="Times New Roman" w:cs="Times New Roman" w:eastAsia="Times New Roman" w:hAnsi="Times New Roman"/>
                <w:b w:val="false"/>
                <w:bCs w:val="false"/>
                <w:sz w:val="20"/>
                <w:szCs w:val="20"/>
              </w:rPr>
              <w:t xml:space="preserve">Precisão e revocação dos cortes detectados, frente a marcação manual</w:t>
            </w:r>
          </w:p>
        </w:tc>
      </w:tr>
      <w:tr>
        <w:trPr>
          <w:tblHeader w:val="false"/>
        </w:trPr>
        <w:tc>
          <w:tcPr>
            <w:tcW w:type="dxa" w:w="2900"/>
            <w:tcMar>
              <w:top w:type="dxa" w:w="60"/>
              <w:left w:type="dxa" w:w="100"/>
              <w:bottom w:type="dxa" w:w="60"/>
              <w:right w:type="dxa" w:w="100"/>
            </w:tcMar>
          </w:tcPr>
          <w:p>
            <w:pPr>
              <w:spacing w:after="40" w:before="40"/>
            </w:pPr>
            <w:r>
              <w:rPr>
                <w:rFonts w:ascii="Times New Roman" w:cs="Times New Roman" w:eastAsia="Times New Roman" w:hAnsi="Times New Roman"/>
                <w:b w:val="false"/>
                <w:bCs w:val="false"/>
                <w:sz w:val="20"/>
                <w:szCs w:val="20"/>
              </w:rPr>
              <w:t xml:space="preserve">Detecção</w:t>
            </w:r>
          </w:p>
        </w:tc>
        <w:tc>
          <w:tcPr>
            <w:tcW w:type="dxa" w:w="5604"/>
            <w:tcMar>
              <w:top w:type="dxa" w:w="60"/>
              <w:left w:type="dxa" w:w="100"/>
              <w:bottom w:type="dxa" w:w="60"/>
              <w:right w:type="dxa" w:w="100"/>
            </w:tcMar>
          </w:tcPr>
          <w:p>
            <w:pPr>
              <w:spacing w:after="40" w:before="40"/>
            </w:pPr>
            <w:r>
              <w:rPr>
                <w:rFonts w:ascii="Times New Roman" w:cs="Times New Roman" w:eastAsia="Times New Roman" w:hAnsi="Times New Roman"/>
                <w:b w:val="false"/>
                <w:bCs w:val="false"/>
                <w:sz w:val="20"/>
                <w:szCs w:val="20"/>
              </w:rPr>
              <w:t xml:space="preserve">mAP@0,5; revocação em objetos menores que 20 pixels</w:t>
            </w:r>
          </w:p>
        </w:tc>
      </w:tr>
      <w:tr>
        <w:trPr>
          <w:tblHeader w:val="false"/>
        </w:trPr>
        <w:tc>
          <w:tcPr>
            <w:tcW w:type="dxa" w:w="2900"/>
            <w:tcMar>
              <w:top w:type="dxa" w:w="60"/>
              <w:left w:type="dxa" w:w="100"/>
              <w:bottom w:type="dxa" w:w="60"/>
              <w:right w:type="dxa" w:w="100"/>
            </w:tcMar>
          </w:tcPr>
          <w:p>
            <w:pPr>
              <w:spacing w:after="40" w:before="40"/>
            </w:pPr>
            <w:r>
              <w:rPr>
                <w:rFonts w:ascii="Times New Roman" w:cs="Times New Roman" w:eastAsia="Times New Roman" w:hAnsi="Times New Roman"/>
                <w:b w:val="false"/>
                <w:bCs w:val="false"/>
                <w:sz w:val="20"/>
                <w:szCs w:val="20"/>
              </w:rPr>
              <w:t xml:space="preserve">Registro do campo</w:t>
            </w:r>
          </w:p>
        </w:tc>
        <w:tc>
          <w:tcPr>
            <w:tcW w:type="dxa" w:w="5604"/>
            <w:tcMar>
              <w:top w:type="dxa" w:w="60"/>
              <w:left w:type="dxa" w:w="100"/>
              <w:bottom w:type="dxa" w:w="60"/>
              <w:right w:type="dxa" w:w="100"/>
            </w:tcMar>
          </w:tcPr>
          <w:p>
            <w:pPr>
              <w:spacing w:after="40" w:before="40"/>
            </w:pPr>
            <w:r>
              <w:rPr>
                <w:rFonts w:ascii="Times New Roman" w:cs="Times New Roman" w:eastAsia="Times New Roman" w:hAnsi="Times New Roman"/>
                <w:b w:val="false"/>
                <w:bCs w:val="false"/>
                <w:sz w:val="20"/>
                <w:szCs w:val="20"/>
              </w:rPr>
              <w:t xml:space="preserve">Erro de reprojeção em metros; deriva entre quadros-chave</w:t>
            </w:r>
          </w:p>
        </w:tc>
      </w:tr>
      <w:tr>
        <w:trPr>
          <w:tblHeader w:val="false"/>
        </w:trPr>
        <w:tc>
          <w:tcPr>
            <w:tcW w:type="dxa" w:w="2900"/>
            <w:tcMar>
              <w:top w:type="dxa" w:w="60"/>
              <w:left w:type="dxa" w:w="100"/>
              <w:bottom w:type="dxa" w:w="60"/>
              <w:right w:type="dxa" w:w="100"/>
            </w:tcMar>
          </w:tcPr>
          <w:p>
            <w:pPr>
              <w:spacing w:after="40" w:before="40"/>
            </w:pPr>
            <w:r>
              <w:rPr>
                <w:rFonts w:ascii="Times New Roman" w:cs="Times New Roman" w:eastAsia="Times New Roman" w:hAnsi="Times New Roman"/>
                <w:b w:val="false"/>
                <w:bCs w:val="false"/>
                <w:sz w:val="20"/>
                <w:szCs w:val="20"/>
              </w:rPr>
              <w:t xml:space="preserve">Velocidade</w:t>
            </w:r>
          </w:p>
        </w:tc>
        <w:tc>
          <w:tcPr>
            <w:tcW w:type="dxa" w:w="5604"/>
            <w:tcMar>
              <w:top w:type="dxa" w:w="60"/>
              <w:left w:type="dxa" w:w="100"/>
              <w:bottom w:type="dxa" w:w="60"/>
              <w:right w:type="dxa" w:w="100"/>
            </w:tcMar>
          </w:tcPr>
          <w:p>
            <w:pPr>
              <w:spacing w:after="40" w:before="40"/>
            </w:pPr>
            <w:r>
              <w:rPr>
                <w:rFonts w:ascii="Times New Roman" w:cs="Times New Roman" w:eastAsia="Times New Roman" w:hAnsi="Times New Roman"/>
                <w:b w:val="false"/>
                <w:bCs w:val="false"/>
                <w:sz w:val="20"/>
                <w:szCs w:val="20"/>
              </w:rPr>
              <w:t xml:space="preserve">Erro absoluto médio em m/s</w:t>
            </w:r>
          </w:p>
        </w:tc>
      </w:tr>
      <w:tr>
        <w:trPr>
          <w:tblHeader w:val="false"/>
        </w:trPr>
        <w:tc>
          <w:tcPr>
            <w:tcW w:type="dxa" w:w="2900"/>
            <w:tcMar>
              <w:top w:type="dxa" w:w="60"/>
              <w:left w:type="dxa" w:w="100"/>
              <w:bottom w:type="dxa" w:w="60"/>
              <w:right w:type="dxa" w:w="100"/>
            </w:tcMar>
          </w:tcPr>
          <w:p>
            <w:pPr>
              <w:spacing w:after="40" w:before="40"/>
            </w:pPr>
            <w:r>
              <w:rPr>
                <w:rFonts w:ascii="Times New Roman" w:cs="Times New Roman" w:eastAsia="Times New Roman" w:hAnsi="Times New Roman"/>
                <w:b w:val="false"/>
                <w:bCs w:val="false"/>
                <w:sz w:val="20"/>
                <w:szCs w:val="20"/>
              </w:rPr>
              <w:t xml:space="preserve">Controle de espaço</w:t>
            </w:r>
          </w:p>
        </w:tc>
        <w:tc>
          <w:tcPr>
            <w:tcW w:type="dxa" w:w="5604"/>
            <w:tcMar>
              <w:top w:type="dxa" w:w="60"/>
              <w:left w:type="dxa" w:w="100"/>
              <w:bottom w:type="dxa" w:w="60"/>
              <w:right w:type="dxa" w:w="100"/>
            </w:tcMar>
          </w:tcPr>
          <w:p>
            <w:pPr>
              <w:spacing w:after="40" w:before="40"/>
            </w:pPr>
            <w:r>
              <w:rPr>
                <w:rFonts w:ascii="Times New Roman" w:cs="Times New Roman" w:eastAsia="Times New Roman" w:hAnsi="Times New Roman"/>
                <w:b w:val="false"/>
                <w:bCs w:val="false"/>
                <w:sz w:val="20"/>
                <w:szCs w:val="20"/>
              </w:rPr>
              <w:t xml:space="preserve">Acurácia na predição do receptor do passe; Brier score</w:t>
            </w:r>
          </w:p>
        </w:tc>
      </w:tr>
      <w:tr>
        <w:trPr>
          <w:tblHeader w:val="false"/>
        </w:trPr>
        <w:tc>
          <w:tcPr>
            <w:tcW w:type="dxa" w:w="2900"/>
            <w:tcMar>
              <w:top w:type="dxa" w:w="60"/>
              <w:left w:type="dxa" w:w="100"/>
              <w:bottom w:type="dxa" w:w="60"/>
              <w:right w:type="dxa" w:w="100"/>
            </w:tcMar>
          </w:tcPr>
          <w:p>
            <w:pPr>
              <w:spacing w:after="40" w:before="40"/>
            </w:pPr>
            <w:r>
              <w:rPr>
                <w:rFonts w:ascii="Times New Roman" w:cs="Times New Roman" w:eastAsia="Times New Roman" w:hAnsi="Times New Roman"/>
                <w:b w:val="false"/>
                <w:bCs w:val="false"/>
                <w:sz w:val="20"/>
                <w:szCs w:val="20"/>
              </w:rPr>
              <w:t xml:space="preserve">Sensibilidade ao erro</w:t>
            </w:r>
          </w:p>
        </w:tc>
        <w:tc>
          <w:tcPr>
            <w:tcW w:type="dxa" w:w="5604"/>
            <w:tcMar>
              <w:top w:type="dxa" w:w="60"/>
              <w:left w:type="dxa" w:w="100"/>
              <w:bottom w:type="dxa" w:w="60"/>
              <w:right w:type="dxa" w:w="100"/>
            </w:tcMar>
          </w:tcPr>
          <w:p>
            <w:pPr>
              <w:spacing w:after="40" w:before="40"/>
            </w:pPr>
            <w:r>
              <w:rPr>
                <w:rFonts w:ascii="Times New Roman" w:cs="Times New Roman" w:eastAsia="Times New Roman" w:hAnsi="Times New Roman"/>
                <w:b w:val="false"/>
                <w:bCs w:val="false"/>
                <w:sz w:val="20"/>
                <w:szCs w:val="20"/>
              </w:rPr>
              <w:t xml:space="preserve">Erro relativo por métrica; limiar de exibição</w:t>
            </w:r>
          </w:p>
        </w:tc>
      </w:tr>
      <w:tr>
        <w:trPr>
          <w:tblHeader w:val="false"/>
        </w:trPr>
        <w:tc>
          <w:tcPr>
            <w:tcW w:type="dxa" w:w="2900"/>
            <w:tcMar>
              <w:top w:type="dxa" w:w="60"/>
              <w:left w:type="dxa" w:w="100"/>
              <w:bottom w:type="dxa" w:w="60"/>
              <w:right w:type="dxa" w:w="100"/>
            </w:tcMar>
          </w:tcPr>
          <w:p>
            <w:pPr>
              <w:spacing w:after="40" w:before="40"/>
            </w:pPr>
            <w:r>
              <w:rPr>
                <w:rFonts w:ascii="Times New Roman" w:cs="Times New Roman" w:eastAsia="Times New Roman" w:hAnsi="Times New Roman"/>
                <w:b w:val="false"/>
                <w:bCs w:val="false"/>
                <w:sz w:val="20"/>
                <w:szCs w:val="20"/>
              </w:rPr>
              <w:t xml:space="preserve">Estudo com usuários</w:t>
            </w:r>
          </w:p>
        </w:tc>
        <w:tc>
          <w:tcPr>
            <w:tcW w:type="dxa" w:w="5604"/>
            <w:tcMar>
              <w:top w:type="dxa" w:w="60"/>
              <w:left w:type="dxa" w:w="100"/>
              <w:bottom w:type="dxa" w:w="60"/>
              <w:right w:type="dxa" w:w="100"/>
            </w:tcMar>
          </w:tcPr>
          <w:p>
            <w:pPr>
              <w:spacing w:after="40" w:before="40"/>
            </w:pPr>
            <w:r>
              <w:rPr>
                <w:rFonts w:ascii="Times New Roman" w:cs="Times New Roman" w:eastAsia="Times New Roman" w:hAnsi="Times New Roman"/>
                <w:b w:val="false"/>
                <w:bCs w:val="false"/>
                <w:sz w:val="20"/>
                <w:szCs w:val="20"/>
              </w:rPr>
              <w:t xml:space="preserve">Acurácia, tempo de resposta e carga de trabalho (NASA-TLX)</w:t>
            </w:r>
          </w:p>
        </w:tc>
      </w:tr>
    </w:tbl>
    <w:p>
      <w:pPr>
        <w:spacing w:after="120" w:before="240"/>
      </w:pPr>
      <w:r>
        <w:rPr>
          <w:rFonts w:ascii="Times New Roman" w:cs="Times New Roman" w:eastAsia="Times New Roman" w:hAnsi="Times New Roman"/>
          <w:b/>
          <w:bCs/>
          <w:sz w:val="26"/>
          <w:szCs w:val="26"/>
        </w:rPr>
        <w:t xml:space="preserve">Referências</w:t>
      </w:r>
    </w:p>
    <w:p>
      <w:pPr>
        <w:spacing w:before="120"/>
        <w:ind w:left="283" w:hanging="283"/>
        <w:jc w:val="both"/>
      </w:pPr>
      <w:r>
        <w:rPr>
          <w:rFonts w:ascii="Times New Roman" w:cs="Times New Roman" w:eastAsia="Times New Roman" w:hAnsi="Times New Roman"/>
          <w:i w:val="false"/>
          <w:iCs w:val="false"/>
          <w:sz w:val="24"/>
          <w:szCs w:val="24"/>
        </w:rPr>
        <w:t xml:space="preserve">Akyon, F. C., Altinuc, S. O. and Temizel, A. (2022) “Slicing Aided Hyper Inference and Fine-tuning for Small Object Detection”, In: IEEE International Conference on Image Processing (ICIP), p. 966-970.</w:t>
      </w:r>
    </w:p>
    <w:p>
      <w:pPr>
        <w:spacing w:before="120"/>
        <w:ind w:left="283" w:hanging="283"/>
        <w:jc w:val="both"/>
      </w:pPr>
      <w:r>
        <w:rPr>
          <w:rFonts w:ascii="Times New Roman" w:cs="Times New Roman" w:eastAsia="Times New Roman" w:hAnsi="Times New Roman"/>
          <w:i w:val="false"/>
          <w:iCs w:val="false"/>
          <w:sz w:val="24"/>
          <w:szCs w:val="24"/>
        </w:rPr>
        <w:t xml:space="preserve">Bialkowski, A., Lucey, P., Carr, P., Yue, Y., Sridharan, S. and Matthews, I. (2014) “Large-Scale Analysis of Soccer Matches Using Spatiotemporal Tracking Data”, In: IEEE International Conference on Data Mining (ICDM), p. 725-730.</w:t>
      </w:r>
    </w:p>
    <w:p>
      <w:pPr>
        <w:spacing w:before="120"/>
        <w:ind w:left="283" w:hanging="283"/>
        <w:jc w:val="both"/>
      </w:pPr>
      <w:r>
        <w:rPr>
          <w:rFonts w:ascii="Times New Roman" w:cs="Times New Roman" w:eastAsia="Times New Roman" w:hAnsi="Times New Roman"/>
          <w:i w:val="false"/>
          <w:iCs w:val="false"/>
          <w:sz w:val="24"/>
          <w:szCs w:val="24"/>
        </w:rPr>
        <w:t xml:space="preserve">Chen, Z., Ye, S., Chu, X., Xia, H., Zhang, H., Qu, H. and Wu, Y. (2022) “Augmenting Sports Videos with VisCommentator”, IEEE Transactions on Visualization and Computer Graphics, 28(1), p. 824-834.</w:t>
      </w:r>
    </w:p>
    <w:p>
      <w:pPr>
        <w:spacing w:before="120"/>
        <w:ind w:left="283" w:hanging="283"/>
        <w:jc w:val="both"/>
      </w:pPr>
      <w:r>
        <w:rPr>
          <w:rFonts w:ascii="Times New Roman" w:cs="Times New Roman" w:eastAsia="Times New Roman" w:hAnsi="Times New Roman"/>
          <w:i w:val="false"/>
          <w:iCs w:val="false"/>
          <w:sz w:val="24"/>
          <w:szCs w:val="24"/>
        </w:rPr>
        <w:t xml:space="preserve">Chen, Z., Yang, Q., Shan, J., Lin, T., Beyer, J., Xia, H. and Pfister, H. (2023) “iBall: Augmenting Basketball Videos with Gaze-moderated Embedded Visualizations”, In: ACM CHI Conference on Human Factors in Computing Systems, Hamburg, Germany.</w:t>
      </w:r>
    </w:p>
    <w:p>
      <w:pPr>
        <w:spacing w:before="120"/>
        <w:ind w:left="283" w:hanging="283"/>
        <w:jc w:val="both"/>
      </w:pPr>
      <w:r>
        <w:rPr>
          <w:rFonts w:ascii="Times New Roman" w:cs="Times New Roman" w:eastAsia="Times New Roman" w:hAnsi="Times New Roman"/>
          <w:i w:val="false"/>
          <w:iCs w:val="false"/>
          <w:sz w:val="24"/>
          <w:szCs w:val="24"/>
        </w:rPr>
        <w:t xml:space="preserve">Deliège, A., Cioppa, A., Giancola, S., Seikavandi, M. J., Dueholm, J. V., Nasrollahi, K., Ghanem, B., Moeslund, T. B. and Van Droogenbroeck, M. (2021) “SoccerNet-v2: A Dataset and Benchmarks for Holistic Understanding of Broadcast Soccer Videos”, In: IEEE/CVF Conference on Computer Vision and Pattern Recognition Workshops (CVPRW).</w:t>
      </w:r>
    </w:p>
    <w:p>
      <w:pPr>
        <w:spacing w:before="120"/>
        <w:ind w:left="283" w:hanging="283"/>
        <w:jc w:val="both"/>
      </w:pPr>
      <w:r>
        <w:rPr>
          <w:rFonts w:ascii="Times New Roman" w:cs="Times New Roman" w:eastAsia="Times New Roman" w:hAnsi="Times New Roman"/>
          <w:i w:val="false"/>
          <w:iCs w:val="false"/>
          <w:sz w:val="24"/>
          <w:szCs w:val="24"/>
        </w:rPr>
        <w:t xml:space="preserve">Fernández, J. and Bornn, L. (2018) “Wide Open Spaces: A Statistical Technique for Measuring Space Creation in Professional Soccer”, In: MIT Sloan Sports Analytics Conference, Boston, USA.</w:t>
      </w:r>
    </w:p>
    <w:p>
      <w:pPr>
        <w:spacing w:before="120"/>
        <w:ind w:left="283" w:hanging="283"/>
        <w:jc w:val="both"/>
      </w:pPr>
      <w:r>
        <w:rPr>
          <w:rFonts w:ascii="Times New Roman" w:cs="Times New Roman" w:eastAsia="Times New Roman" w:hAnsi="Times New Roman"/>
          <w:i w:val="false"/>
          <w:iCs w:val="false"/>
          <w:sz w:val="24"/>
          <w:szCs w:val="24"/>
        </w:rPr>
        <w:t xml:space="preserve">Fernández, J., Bornn, L. and Cervone, D. (2021) “A Framework for the Fine-Grained Evaluation of the Instantaneous Expected Value of Soccer Possessions”, Machine Learning, 110(6), p. 1389-1427.</w:t>
      </w:r>
    </w:p>
    <w:p>
      <w:pPr>
        <w:spacing w:before="120"/>
        <w:ind w:left="283" w:hanging="283"/>
        <w:jc w:val="both"/>
      </w:pPr>
      <w:r>
        <w:rPr>
          <w:rFonts w:ascii="Times New Roman" w:cs="Times New Roman" w:eastAsia="Times New Roman" w:hAnsi="Times New Roman"/>
          <w:i w:val="false"/>
          <w:iCs w:val="false"/>
          <w:sz w:val="24"/>
          <w:szCs w:val="24"/>
        </w:rPr>
        <w:t xml:space="preserve">Hart, S. G. and Staveland, L. E. (1988) “Development of NASA-TLX (Task Load Index): Results of Empirical and Theoretical Research”, In: Human Mental Workload, Edited by P. A. Hancock and N. Meshkati, North-Holland, p. 139-183.</w:t>
      </w:r>
    </w:p>
    <w:p>
      <w:pPr>
        <w:spacing w:before="120"/>
        <w:ind w:left="283" w:hanging="283"/>
        <w:jc w:val="both"/>
      </w:pPr>
      <w:r>
        <w:rPr>
          <w:rFonts w:ascii="Times New Roman" w:cs="Times New Roman" w:eastAsia="Times New Roman" w:hAnsi="Times New Roman"/>
          <w:i w:val="false"/>
          <w:iCs w:val="false"/>
          <w:sz w:val="24"/>
          <w:szCs w:val="24"/>
        </w:rPr>
        <w:t xml:space="preserve">IFAB (2026) “Laws of the Game, Law 1: The Field of Play”, The International Football Association Board, https://www.theifab.com/laws/latest/the-field-of-play/, acesso em setembro de 2026.</w:t>
      </w:r>
    </w:p>
    <w:p>
      <w:pPr>
        <w:spacing w:before="120"/>
        <w:ind w:left="283" w:hanging="283"/>
        <w:jc w:val="both"/>
      </w:pPr>
      <w:r>
        <w:rPr>
          <w:rFonts w:ascii="Times New Roman" w:cs="Times New Roman" w:eastAsia="Times New Roman" w:hAnsi="Times New Roman"/>
          <w:i w:val="false"/>
          <w:iCs w:val="false"/>
          <w:sz w:val="24"/>
          <w:szCs w:val="24"/>
        </w:rPr>
        <w:t xml:space="preserve">Jocher, G., Chaurasia, A. and Qiu, J. (2023) “Ultralytics YOLOv8”, https://github.com/ultralytics/ultralytics.</w:t>
      </w:r>
    </w:p>
    <w:p>
      <w:pPr>
        <w:spacing w:before="120"/>
        <w:ind w:left="283" w:hanging="283"/>
        <w:jc w:val="both"/>
      </w:pPr>
      <w:r>
        <w:rPr>
          <w:rFonts w:ascii="Times New Roman" w:cs="Times New Roman" w:eastAsia="Times New Roman" w:hAnsi="Times New Roman"/>
          <w:i w:val="false"/>
          <w:iCs w:val="false"/>
          <w:sz w:val="24"/>
          <w:szCs w:val="24"/>
        </w:rPr>
        <w:t xml:space="preserve">Perin, C., Vuillemot, R. and Fekete, J.-D. (2013) “SoccerStories: A Kick-off for Visual Soccer Analysis”, IEEE Transactions on Visualization and Computer Graphics, 19(12), p. 2506-2515.</w:t>
      </w:r>
    </w:p>
    <w:p>
      <w:pPr>
        <w:spacing w:before="120"/>
        <w:ind w:left="283" w:hanging="283"/>
        <w:jc w:val="both"/>
      </w:pPr>
      <w:r>
        <w:rPr>
          <w:rFonts w:ascii="Times New Roman" w:cs="Times New Roman" w:eastAsia="Times New Roman" w:hAnsi="Times New Roman"/>
          <w:i w:val="false"/>
          <w:iCs w:val="false"/>
          <w:sz w:val="24"/>
          <w:szCs w:val="24"/>
        </w:rPr>
        <w:t xml:space="preserve">Perin, C., Vuillemot, R., Stolper, C., Stasko, J., Wood, J. and Carpendale, S. (2018) “State of the Art of Sports Data Visualization”, Computer Graphics Forum, 37, p. 663-686.</w:t>
      </w:r>
    </w:p>
    <w:p>
      <w:pPr>
        <w:spacing w:before="120"/>
        <w:ind w:left="283" w:hanging="283"/>
        <w:jc w:val="both"/>
      </w:pPr>
      <w:r>
        <w:rPr>
          <w:rFonts w:ascii="Times New Roman" w:cs="Times New Roman" w:eastAsia="Times New Roman" w:hAnsi="Times New Roman"/>
          <w:i w:val="false"/>
          <w:iCs w:val="false"/>
          <w:sz w:val="24"/>
          <w:szCs w:val="24"/>
        </w:rPr>
        <w:t xml:space="preserve">Somers, V., Joos, V., Cioppa, A., Giancola, S., Ghasemzadeh, S. A., Magera, F., Standaert, B., Mansourian, A. M., Zhou, X., Kasaei, S., Ghanem, B., Alahi, A., Van Droogenbroeck, M. and De Vleeschouwer, C. (2024) “SoccerNet Game State Reconstruction: End-to-End Athlete Tracking and Identification on a Minimap”, In: IEEE/CVF Conference on Computer Vision and Pattern Recognition Workshops (CVPRW), p. 3293-3305.</w:t>
      </w:r>
    </w:p>
    <w:p>
      <w:pPr>
        <w:spacing w:before="120"/>
        <w:ind w:left="283" w:hanging="283"/>
        <w:jc w:val="both"/>
      </w:pPr>
      <w:r>
        <w:rPr>
          <w:rFonts w:ascii="Times New Roman" w:cs="Times New Roman" w:eastAsia="Times New Roman" w:hAnsi="Times New Roman"/>
          <w:i w:val="false"/>
          <w:iCs w:val="false"/>
          <w:sz w:val="24"/>
          <w:szCs w:val="24"/>
        </w:rPr>
        <w:t xml:space="preserve">Spearman, W., Basye, A., Dick, G., Hotovy, R. and Pop, P. (2017) “Physics-Based Modeling of Pass Probabilities in Soccer”, In: MIT Sloan Sports Analytics Conference, Boston, USA.</w:t>
      </w:r>
    </w:p>
    <w:p>
      <w:pPr>
        <w:spacing w:before="120"/>
        <w:ind w:left="283" w:hanging="283"/>
        <w:jc w:val="both"/>
      </w:pPr>
      <w:r>
        <w:rPr>
          <w:rFonts w:ascii="Times New Roman" w:cs="Times New Roman" w:eastAsia="Times New Roman" w:hAnsi="Times New Roman"/>
          <w:i w:val="false"/>
          <w:iCs w:val="false"/>
          <w:sz w:val="24"/>
          <w:szCs w:val="24"/>
        </w:rPr>
        <w:t xml:space="preserve">Taki, T. and Hasegawa, J. (2000) “Visualization of Dominant Region in Team Games and Its Application to Teamwork Analysis”, In: Computer Graphics International (CGI), p. 227-235.</w:t>
      </w:r>
    </w:p>
    <w:p>
      <w:pPr>
        <w:spacing w:before="120"/>
        <w:ind w:left="283" w:hanging="283"/>
        <w:jc w:val="both"/>
      </w:pPr>
      <w:r>
        <w:rPr>
          <w:rFonts w:ascii="Times New Roman" w:cs="Times New Roman" w:eastAsia="Times New Roman" w:hAnsi="Times New Roman"/>
          <w:i w:val="false"/>
          <w:iCs w:val="false"/>
          <w:sz w:val="24"/>
          <w:szCs w:val="24"/>
        </w:rPr>
        <w:t xml:space="preserve">Theiner, J. and Ewerth, R. (2023) “TVCalib: Camera Calibration for Sports Field Registration in Soccer”, In: IEEE/CVF Winter Conference on Applications of Computer Vision (WACV), p. 1166-1175.</w:t>
      </w:r>
    </w:p>
    <w:p>
      <w:pPr>
        <w:spacing w:before="120"/>
        <w:ind w:left="283" w:hanging="283"/>
        <w:jc w:val="both"/>
      </w:pPr>
      <w:r>
        <w:rPr>
          <w:rFonts w:ascii="Times New Roman" w:cs="Times New Roman" w:eastAsia="Times New Roman" w:hAnsi="Times New Roman"/>
          <w:i w:val="false"/>
          <w:iCs w:val="false"/>
          <w:sz w:val="24"/>
          <w:szCs w:val="24"/>
        </w:rPr>
        <w:t xml:space="preserve">Tryolabs (2022) “soccer-video-analytics”, https://github.com/tryolabs/soccer-video-analytics, licença MIT.</w:t>
      </w:r>
    </w:p>
    <w:sectPr>
      <w:pgSz w:w="11906" w:h="16838" w:orient="portrait"/>
      <w:pgMar w:top="1984" w:right="1701"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91965f857435479b374dfd2756a15c976eaba2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Pixel à Narrativa: Visualizações Confiáveis de Controle de Espaço em Transmissões de Futebol para o Público Geral</dc:title>
  <dc:creator>IDP</dc:creator>
  <cp:lastModifiedBy>Un-named</cp:lastModifiedBy>
  <cp:revision>1</cp:revision>
  <dcterms:created xsi:type="dcterms:W3CDTF">2026-09-27T21:50:32.480Z</dcterms:created>
  <dcterms:modified xsi:type="dcterms:W3CDTF">2026-09-27T21:50:32.491Z</dcterms:modified>
</cp:coreProperties>
</file>

<file path=docProps/custom.xml><?xml version="1.0" encoding="utf-8"?>
<Properties xmlns="http://schemas.openxmlformats.org/officeDocument/2006/custom-properties" xmlns:vt="http://schemas.openxmlformats.org/officeDocument/2006/docPropsVTypes"/>
</file>