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r>
        <w:rPr>
          <w:color w:val="000000"/>
          <w:b/>
          <w:bCs/>
          <w:rFonts w:ascii="Arial" w:eastAsia="Arial" w:hAnsi="Arial" w:cs="Arial"/>
          <w:sz w:val="28"/>
          <w:szCs w:val="28"/>
        </w:rPr>
        <w:t>📋 Meta review</w:t>
      </w:r>
    </w:p>
    <w:p w:rsidR="00A77427" w:rsidRDefault="007F1D13">
      <w:pPr>
        <w:ind/>
      </w:pPr>
      <w:r>
        <w:rPr>
          <w:color w:val="000000"/>
          <w:b/>
          <w:bCs/>
          <w:rFonts w:ascii="Arial" w:eastAsia="Arial" w:hAnsi="Arial" w:cs="Arial"/>
          <w:sz w:val="25"/>
          <w:szCs w:val="25"/>
        </w:rPr>
        <w:t>Summary</w:t>
      </w:r>
    </w:p>
    <w:p w:rsidR="00A77427" w:rsidRDefault="007F1D13">
      <w:pPr>
        <w:ind/>
      </w:pPr>
      <w:r>
        <w:rPr>
          <w:color w:val="000000"/>
          <w:rFonts w:ascii="Arial" w:eastAsia="Arial" w:hAnsi="Arial" w:cs="Arial"/>
          <w:sz w:val="23"/>
          <w:szCs w:val="23"/>
        </w:rPr>
        <w:t xml:space="preserve">This meta-review synthesizes insights from five specialized reviewers evaluating a systematic literature review on Deep Learning for urban traffic anomaly detection. The reviewers universally commended the paper’s </w:t>
      </w:r>
      <w:r>
        <w:rPr>
          <w:color w:val="000000"/>
          <w:b/>
          <w:bCs/>
          <w:rFonts w:ascii="Arial" w:eastAsia="Arial" w:hAnsi="Arial" w:cs="Arial"/>
          <w:sz w:val="23"/>
          <w:szCs w:val="23"/>
        </w:rPr>
        <w:t>methodological rigor</w:t>
      </w:r>
      <w:r>
        <w:rPr>
          <w:color w:val="000000"/>
          <w:rFonts w:ascii="Arial" w:eastAsia="Arial" w:hAnsi="Arial" w:cs="Arial"/>
          <w:sz w:val="23"/>
          <w:szCs w:val="23"/>
        </w:rPr>
        <w:t xml:space="preserve">, </w:t>
      </w:r>
      <w:r>
        <w:rPr>
          <w:color w:val="000000"/>
          <w:b/>
          <w:bCs/>
          <w:rFonts w:ascii="Arial" w:eastAsia="Arial" w:hAnsi="Arial" w:cs="Arial"/>
          <w:sz w:val="23"/>
          <w:szCs w:val="23"/>
        </w:rPr>
        <w:t>comprehensive architectural taxonomy</w:t>
      </w:r>
      <w:r>
        <w:rPr>
          <w:color w:val="000000"/>
          <w:rFonts w:ascii="Arial" w:eastAsia="Arial" w:hAnsi="Arial" w:cs="Arial"/>
          <w:sz w:val="23"/>
          <w:szCs w:val="23"/>
        </w:rPr>
        <w:t xml:space="preserve">, and insightful identification of </w:t>
      </w:r>
      <w:r>
        <w:rPr>
          <w:color w:val="000000"/>
          <w:b/>
          <w:bCs/>
          <w:rFonts w:ascii="Arial" w:eastAsia="Arial" w:hAnsi="Arial" w:cs="Arial"/>
          <w:sz w:val="23"/>
          <w:szCs w:val="23"/>
        </w:rPr>
        <w:t>field-wide limitations</w:t>
      </w:r>
      <w:r>
        <w:rPr>
          <w:color w:val="000000"/>
          <w:rFonts w:ascii="Arial" w:eastAsia="Arial" w:hAnsi="Arial" w:cs="Arial"/>
          <w:sz w:val="23"/>
          <w:szCs w:val="23"/>
        </w:rPr>
        <w:t xml:space="preserve"> such as the lack of standardized benchmarks. However, the cross-domain synthesis reveals several interconnected areas requiring improvement. Key weaknesses include an underdeveloped differentiation from existing broad surveys, missing evaluation of </w:t>
      </w:r>
      <w:r>
        <w:rPr>
          <w:color w:val="000000"/>
          <w:b/>
          <w:bCs/>
          <w:rFonts w:ascii="Arial" w:eastAsia="Arial" w:hAnsi="Arial" w:cs="Arial"/>
          <w:sz w:val="23"/>
          <w:szCs w:val="23"/>
        </w:rPr>
        <w:t>inter-rater reliability (IRR)</w:t>
      </w:r>
      <w:r>
        <w:rPr>
          <w:color w:val="000000"/>
          <w:rFonts w:ascii="Arial" w:eastAsia="Arial" w:hAnsi="Arial" w:cs="Arial"/>
          <w:sz w:val="23"/>
          <w:szCs w:val="23"/>
        </w:rPr>
        <w:t xml:space="preserve">, and disjointed visual representations of the PRISMA workflow. Furthermore, there is a unified consensus among reviewers that the discussions surrounding </w:t>
      </w:r>
      <w:r>
        <w:rPr>
          <w:color w:val="000000"/>
          <w:b/>
          <w:bCs/>
          <w:rFonts w:ascii="Arial" w:eastAsia="Arial" w:hAnsi="Arial" w:cs="Arial"/>
          <w:sz w:val="23"/>
          <w:szCs w:val="23"/>
        </w:rPr>
        <w:t>Explainable AI (XAI)</w:t>
      </w:r>
      <w:r>
        <w:rPr>
          <w:color w:val="000000"/>
          <w:rFonts w:ascii="Arial" w:eastAsia="Arial" w:hAnsi="Arial" w:cs="Arial"/>
          <w:sz w:val="23"/>
          <w:szCs w:val="23"/>
        </w:rPr>
        <w:t xml:space="preserve">, </w:t>
      </w:r>
      <w:r>
        <w:rPr>
          <w:color w:val="000000"/>
          <w:b/>
          <w:bCs/>
          <w:rFonts w:ascii="Arial" w:eastAsia="Arial" w:hAnsi="Arial" w:cs="Arial"/>
          <w:sz w:val="23"/>
          <w:szCs w:val="23"/>
        </w:rPr>
        <w:t>Domain-Adaptive Pre-Training (DAPT)</w:t>
      </w:r>
      <w:r>
        <w:rPr>
          <w:color w:val="000000"/>
          <w:rFonts w:ascii="Arial" w:eastAsia="Arial" w:hAnsi="Arial" w:cs="Arial"/>
          <w:sz w:val="23"/>
          <w:szCs w:val="23"/>
        </w:rPr>
        <w:t xml:space="preserve">, and </w:t>
      </w:r>
      <w:r>
        <w:rPr>
          <w:color w:val="000000"/>
          <w:b/>
          <w:bCs/>
          <w:rFonts w:ascii="Arial" w:eastAsia="Arial" w:hAnsi="Arial" w:cs="Arial"/>
          <w:sz w:val="23"/>
          <w:szCs w:val="23"/>
        </w:rPr>
        <w:t>operational deployment metrics</w:t>
      </w:r>
      <w:r>
        <w:rPr>
          <w:color w:val="000000"/>
          <w:rFonts w:ascii="Arial" w:eastAsia="Arial" w:hAnsi="Arial" w:cs="Arial"/>
          <w:sz w:val="23"/>
          <w:szCs w:val="23"/>
        </w:rPr>
        <w:t xml:space="preserve"> are too abstract to guide real-world municipal integration. Addressing these issues through targeted extensions, clarification of terminology, and the addition of robust critical appraisal matrices will significantly elevate the paper’s impact and practical relevance for Intelligent Transportation Systems (ITS) practitioners.</w:t>
      </w:r>
    </w:p>
    <w:p w:rsidR="00A77427" w:rsidRDefault="007F1D13">
      <w:pPr>
        <w:ind/>
      </w:pPr>
      <w:r>
        <w:rPr>
          <w:color w:val="000000"/>
          <w:b/>
          <w:bCs/>
          <w:rFonts w:ascii="Arial" w:eastAsia="Arial" w:hAnsi="Arial" w:cs="Arial"/>
          <w:sz w:val="25"/>
          <w:szCs w:val="25"/>
        </w:rPr>
        <w:t>Strengths</w:t>
      </w:r>
    </w:p>
    <w:p w:rsidR="00A77427" w:rsidRDefault="007F1D13">
      <w:pPr>
        <w:ind/>
      </w:pPr>
      <w:r>
        <w:rPr>
          <w:color w:val="000000"/>
          <w:b/>
          <w:bCs/>
          <w:rFonts w:ascii="Arial" w:eastAsia="Arial" w:hAnsi="Arial" w:cs="Arial"/>
          <w:sz w:val="23"/>
          <w:szCs w:val="23"/>
        </w:rPr>
        <w:t>Methodological rigor and logical clarity</w:t>
      </w:r>
      <w:r>
        <w:rPr>
          <w:color w:val="000000"/>
          <w:rFonts w:ascii="Arial" w:eastAsia="Arial" w:hAnsi="Arial" w:cs="Arial"/>
          <w:sz w:val="23"/>
          <w:szCs w:val="23"/>
        </w:rPr>
        <w:t xml:space="preserve"> in executing the systematic review protocol.</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Rigor : Reviewer 2 highlighted the adherence to Kitchenham and Charters protocol and the standardized quality assessment in (Block: 113).</w:t>
      </w:r>
    </w:p>
    <w:p w:rsidR="00A77427" w:rsidRDefault="007F1D13">
      <w:pPr>
        <w:ind/>
      </w:pPr>
      <w:r>
        <w:rPr>
          <w:color w:val="000000"/>
          <w:rFonts w:ascii="Arial" w:eastAsia="Arial" w:hAnsi="Arial" w:cs="Arial"/>
          <w:sz w:val="23"/>
          <w:szCs w:val="23"/>
        </w:rPr>
        <w:t>Clarity : Reviewer 3 praised the excellent logical flow and structured organizational clarity that smoothly guides the reader.</w:t>
      </w:r>
    </w:p>
    <w:p w:rsidR="00A77427" w:rsidRDefault="007F1D13">
      <w:pPr>
        <w:ind/>
      </w:pPr>
      <w:r>
        <w:rPr>
          <w:color w:val="000000"/>
          <w:b/>
          <w:bCs/>
          <w:rFonts w:ascii="Arial" w:eastAsia="Arial" w:hAnsi="Arial" w:cs="Arial"/>
          <w:sz w:val="23"/>
          <w:szCs w:val="23"/>
        </w:rPr>
        <w:t>Comprehensive architectural taxonomy</w:t>
      </w:r>
      <w:r>
        <w:rPr>
          <w:color w:val="000000"/>
          <w:rFonts w:ascii="Arial" w:eastAsia="Arial" w:hAnsi="Arial" w:cs="Arial"/>
          <w:sz w:val="23"/>
          <w:szCs w:val="23"/>
        </w:rPr>
        <w:t xml:space="preserve"> that maps Deep Learning models to specific traffic anomaly detection tasks.</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Novelty : Reviewer 1 praised the highly structured taxonomy mapping models to tasks, mirroring established systematic frameworks.</w:t>
      </w:r>
    </w:p>
    <w:p w:rsidR="00A77427" w:rsidRDefault="007F1D13">
      <w:pPr>
        <w:ind/>
      </w:pPr>
      <w:r>
        <w:rPr>
          <w:color w:val="000000"/>
          <w:rFonts w:ascii="Arial" w:eastAsia="Arial" w:hAnsi="Arial" w:cs="Arial"/>
          <w:sz w:val="23"/>
          <w:szCs w:val="23"/>
        </w:rPr>
        <w:t>Impact : Reviewer 4 noted the mapping enhances professional relevance for municipal traffic management by identifying technological roadmaps.</w:t>
      </w:r>
    </w:p>
    <w:p w:rsidR="00A77427" w:rsidRDefault="007F1D13">
      <w:pPr>
        <w:ind/>
      </w:pPr>
      <w:r>
        <w:rPr>
          <w:color w:val="000000"/>
          <w:rFonts w:ascii="Arial" w:eastAsia="Arial" w:hAnsi="Arial" w:cs="Arial"/>
          <w:sz w:val="23"/>
          <w:szCs w:val="23"/>
        </w:rPr>
        <w:t>Clarity : Reviewer 3 praised the descriptive subheadings in (Block: 215) that aid navigation and align directly with research questions.</w:t>
      </w:r>
    </w:p>
    <w:p w:rsidR="00A77427" w:rsidRDefault="007F1D13">
      <w:pPr>
        <w:ind/>
      </w:pPr>
      <w:r>
        <w:rPr>
          <w:color w:val="000000"/>
          <w:b/>
          <w:bCs/>
          <w:rFonts w:ascii="Arial" w:eastAsia="Arial" w:hAnsi="Arial" w:cs="Arial"/>
          <w:sz w:val="23"/>
          <w:szCs w:val="23"/>
        </w:rPr>
        <w:t>Insightful identification of critical limitations</w:t>
      </w:r>
      <w:r>
        <w:rPr>
          <w:color w:val="000000"/>
          <w:rFonts w:ascii="Arial" w:eastAsia="Arial" w:hAnsi="Arial" w:cs="Arial"/>
          <w:sz w:val="23"/>
          <w:szCs w:val="23"/>
        </w:rPr>
        <w:t>, particularly regarding standardized benchmarks and data scarcity.</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Impact : Reviewer 4 commended the identification of the absence of public benchmarks as a primary obstacle to industrial adoption.</w:t>
      </w:r>
    </w:p>
    <w:p w:rsidR="00A77427" w:rsidRDefault="007F1D13">
      <w:pPr>
        <w:ind/>
      </w:pPr>
      <w:r>
        <w:rPr>
          <w:color w:val="000000"/>
          <w:rFonts w:ascii="Arial" w:eastAsia="Arial" w:hAnsi="Arial" w:cs="Arial"/>
          <w:sz w:val="23"/>
          <w:szCs w:val="23"/>
        </w:rPr>
        <w:t>Limitation : Reviewer 5 highlighted the systematic categorization of limitations regarding data scarcity and computational overhead in (Block: 267).</w:t>
      </w:r>
    </w:p>
    <w:p w:rsidR="00A77427" w:rsidRDefault="007F1D13">
      <w:pPr>
        <w:ind/>
      </w:pPr>
      <w:r>
        <w:rPr>
          <w:color w:val="000000"/>
          <w:b/>
          <w:bCs/>
          <w:rFonts w:ascii="Arial" w:eastAsia="Arial" w:hAnsi="Arial" w:cs="Arial"/>
          <w:sz w:val="25"/>
          <w:szCs w:val="25"/>
        </w:rPr>
        <w:t>Weaknesses</w:t>
      </w:r>
    </w:p>
    <w:p w:rsidR="00A77427" w:rsidRDefault="007F1D13">
      <w:pPr>
        <w:ind/>
      </w:pPr>
      <w:r>
        <w:rPr>
          <w:color w:val="000000"/>
          <w:b/>
          <w:bCs/>
          <w:rFonts w:ascii="Arial" w:eastAsia="Arial" w:hAnsi="Arial" w:cs="Arial"/>
          <w:sz w:val="23"/>
          <w:szCs w:val="23"/>
        </w:rPr>
        <w:t>Lack of explicit scope differentiation</w:t>
      </w:r>
      <w:r>
        <w:rPr>
          <w:color w:val="000000"/>
          <w:rFonts w:ascii="Arial" w:eastAsia="Arial" w:hAnsi="Arial" w:cs="Arial"/>
          <w:sz w:val="23"/>
          <w:szCs w:val="23"/>
        </w:rPr>
        <w:t xml:space="preserve"> and positioning against existing broader Intelligent Transportation Systems (ITS) surveys, along with a disconnected footnote regarding dataset limitations.</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Novelty : Reviewer 1 pointed out that the introduction fails to differentiate the review from existing broader surveys.</w:t>
      </w:r>
    </w:p>
    <w:p w:rsidR="00A77427" w:rsidRDefault="007F1D13">
      <w:pPr>
        <w:ind/>
      </w:pPr>
      <w:r>
        <w:rPr>
          <w:color w:val="000000"/>
          <w:rFonts w:ascii="Arial" w:eastAsia="Arial" w:hAnsi="Arial" w:cs="Arial"/>
          <w:sz w:val="23"/>
          <w:szCs w:val="23"/>
        </w:rPr>
        <w:t>Clarity : Reviewer 3 noted that a crucial scope limitation regarding the PeMS-D4 dataset is awkwardly relegated to a footnote in (Block: 18).</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Explicitly contrast the </w:t>
      </w:r>
      <w:r>
        <w:rPr>
          <w:color w:val="000000"/>
          <w:b/>
          <w:bCs/>
          <w:rFonts w:ascii="Arial" w:eastAsia="Arial" w:hAnsi="Arial" w:cs="Arial"/>
          <w:sz w:val="23"/>
          <w:szCs w:val="23"/>
        </w:rPr>
        <w:t>narrow focus on anomaly detection</w:t>
      </w:r>
      <w:r>
        <w:rPr>
          <w:color w:val="000000"/>
          <w:rFonts w:ascii="Arial" w:eastAsia="Arial" w:hAnsi="Arial" w:cs="Arial"/>
          <w:sz w:val="23"/>
          <w:szCs w:val="23"/>
        </w:rPr>
        <w:t xml:space="preserve"> with broader ITS surveys like (Paper: 1) and (Paper: 13) in (Block: 14).</w:t>
      </w:r>
    </w:p>
    <w:p w:rsidR="00A77427" w:rsidRDefault="007F1D13">
      <w:pPr>
        <w:ind/>
      </w:pPr>
      <w:r>
        <w:rPr>
          <w:color w:val="000000"/>
          <w:rFonts w:ascii="Arial" w:eastAsia="Arial" w:hAnsi="Arial" w:cs="Arial"/>
          <w:sz w:val="23"/>
          <w:szCs w:val="23"/>
        </w:rPr>
        <w:t>Incorporate the footnote content directly into the main text of (Block: 18) to improve logical flow.</w:t>
      </w:r>
    </w:p>
    <w:p w:rsidR="00A77427" w:rsidRDefault="007F1D13">
      <w:pPr>
        <w:ind/>
      </w:pPr>
      <w:r>
        <w:rPr>
          <w:color w:val="000000"/>
          <w:rFonts w:ascii="Arial" w:eastAsia="Arial" w:hAnsi="Arial" w:cs="Arial"/>
          <w:sz w:val="23"/>
          <w:szCs w:val="23"/>
        </w:rPr>
        <w:t>Highlight the 2024-2026 inclusion criteria to emphasize recent architectural transitions.</w:t>
      </w:r>
    </w:p>
    <w:p w:rsidR="00A77427" w:rsidRDefault="007F1D13">
      <w:pPr>
        <w:ind/>
      </w:pPr>
      <w:r>
        <w:rPr>
          <w:color w:val="000000"/>
          <w:b/>
          <w:bCs/>
          <w:rFonts w:ascii="Arial" w:eastAsia="Arial" w:hAnsi="Arial" w:cs="Arial"/>
          <w:sz w:val="23"/>
          <w:szCs w:val="23"/>
        </w:rPr>
        <w:t>Omission of key architectural paradigms and terminology inconsistencies</w:t>
      </w:r>
      <w:r>
        <w:rPr>
          <w:color w:val="000000"/>
          <w:rFonts w:ascii="Arial" w:eastAsia="Arial" w:hAnsi="Arial" w:cs="Arial"/>
          <w:sz w:val="23"/>
          <w:szCs w:val="23"/>
        </w:rPr>
        <w:t xml:space="preserve"> in the search strategy and taxonomy, specifically missing Generative Adversarial Networks (GANs), Domain-Adaptive Pre-Training (DAPT), and conflating ‘hybrid’ with ‘multimodal’.</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Rigor : Reviewer 2 noted the search strategy in (Block: 55) omits emerging terms like federated learning and DAPT.</w:t>
      </w:r>
    </w:p>
    <w:p w:rsidR="00A77427" w:rsidRDefault="007F1D13">
      <w:pPr>
        <w:ind/>
      </w:pPr>
      <w:r>
        <w:rPr>
          <w:color w:val="000000"/>
          <w:rFonts w:ascii="Arial" w:eastAsia="Arial" w:hAnsi="Arial" w:cs="Arial"/>
          <w:sz w:val="23"/>
          <w:szCs w:val="23"/>
        </w:rPr>
        <w:t>Novelty : Reviewer 1 highlighted the missing GAN discussion for synthetic data generation in (Block: 215).</w:t>
      </w:r>
    </w:p>
    <w:p w:rsidR="00A77427" w:rsidRDefault="007F1D13">
      <w:pPr>
        <w:ind/>
      </w:pPr>
      <w:r>
        <w:rPr>
          <w:color w:val="000000"/>
          <w:rFonts w:ascii="Arial" w:eastAsia="Arial" w:hAnsi="Arial" w:cs="Arial"/>
          <w:sz w:val="23"/>
          <w:szCs w:val="23"/>
        </w:rPr>
        <w:t>Clarity : Reviewer 3 found a terminology inconsistency between ‘hybrid’ and ‘multimodal’ models across the taxonomy.</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Update the search query in (Block: 55) to include </w:t>
      </w:r>
      <w:r>
        <w:rPr>
          <w:color w:val="000000"/>
          <w:b/>
          <w:bCs/>
          <w:rFonts w:ascii="Arial" w:eastAsia="Arial" w:hAnsi="Arial" w:cs="Arial"/>
          <w:sz w:val="23"/>
          <w:szCs w:val="23"/>
        </w:rPr>
        <w:t>‘federated learning’</w:t>
      </w:r>
      <w:r>
        <w:rPr>
          <w:color w:val="000000"/>
          <w:rFonts w:ascii="Arial" w:eastAsia="Arial" w:hAnsi="Arial" w:cs="Arial"/>
          <w:sz w:val="23"/>
          <w:szCs w:val="23"/>
        </w:rPr>
        <w:t xml:space="preserve"> and </w:t>
      </w:r>
      <w:r>
        <w:rPr>
          <w:color w:val="000000"/>
          <w:b/>
          <w:bCs/>
          <w:rFonts w:ascii="Arial" w:eastAsia="Arial" w:hAnsi="Arial" w:cs="Arial"/>
          <w:sz w:val="23"/>
          <w:szCs w:val="23"/>
        </w:rPr>
        <w:t>‘domain-adaptive pre-training’</w:t>
      </w:r>
      <w:r>
        <w:rPr>
          <w:color w:val="000000"/>
          <w:rFonts w:ascii="Arial" w:eastAsia="Arial" w:hAnsi="Arial" w:cs="Arial"/>
          <w:sz w:val="23"/>
          <w:szCs w:val="23"/>
        </w:rPr>
        <w:t>.</w:t>
      </w:r>
    </w:p>
    <w:p w:rsidR="00A77427" w:rsidRDefault="007F1D13">
      <w:pPr>
        <w:ind/>
      </w:pPr>
      <w:r>
        <w:rPr>
          <w:color w:val="000000"/>
          <w:rFonts w:ascii="Arial" w:eastAsia="Arial" w:hAnsi="Arial" w:cs="Arial"/>
          <w:sz w:val="23"/>
          <w:szCs w:val="23"/>
        </w:rPr>
        <w:t xml:space="preserve">Expand (Block: 215) to discuss GANs for </w:t>
      </w:r>
      <w:r>
        <w:rPr>
          <w:color w:val="000000"/>
          <w:b/>
          <w:bCs/>
          <w:rFonts w:ascii="Arial" w:eastAsia="Arial" w:hAnsi="Arial" w:cs="Arial"/>
          <w:sz w:val="23"/>
          <w:szCs w:val="23"/>
        </w:rPr>
        <w:t>data augmentation</w:t>
      </w:r>
      <w:r>
        <w:rPr>
          <w:color w:val="000000"/>
          <w:rFonts w:ascii="Arial" w:eastAsia="Arial" w:hAnsi="Arial" w:cs="Arial"/>
          <w:sz w:val="23"/>
          <w:szCs w:val="23"/>
        </w:rPr>
        <w:t xml:space="preserve"> and simulation of rare events, as seen in (Paper: 8).</w:t>
      </w:r>
    </w:p>
    <w:p w:rsidR="00A77427" w:rsidRDefault="007F1D13">
      <w:pPr>
        <w:ind/>
      </w:pPr>
      <w:r>
        <w:rPr>
          <w:color w:val="000000"/>
          <w:rFonts w:ascii="Arial" w:eastAsia="Arial" w:hAnsi="Arial" w:cs="Arial"/>
          <w:sz w:val="23"/>
          <w:szCs w:val="23"/>
        </w:rPr>
        <w:t xml:space="preserve">Add a definitive clarification distinguishing </w:t>
      </w:r>
      <w:r>
        <w:rPr>
          <w:color w:val="000000"/>
          <w:b/>
          <w:bCs/>
          <w:rFonts w:ascii="Arial" w:eastAsia="Arial" w:hAnsi="Arial" w:cs="Arial"/>
          <w:sz w:val="23"/>
          <w:szCs w:val="23"/>
        </w:rPr>
        <w:t>hybrid models</w:t>
      </w:r>
      <w:r>
        <w:rPr>
          <w:color w:val="000000"/>
          <w:rFonts w:ascii="Arial" w:eastAsia="Arial" w:hAnsi="Arial" w:cs="Arial"/>
          <w:sz w:val="23"/>
          <w:szCs w:val="23"/>
        </w:rPr>
        <w:t xml:space="preserve"> from </w:t>
      </w:r>
      <w:r>
        <w:rPr>
          <w:color w:val="000000"/>
          <w:b/>
          <w:bCs/>
          <w:rFonts w:ascii="Arial" w:eastAsia="Arial" w:hAnsi="Arial" w:cs="Arial"/>
          <w:sz w:val="23"/>
          <w:szCs w:val="23"/>
        </w:rPr>
        <w:t>multimodal models</w:t>
      </w:r>
      <w:r>
        <w:rPr>
          <w:color w:val="000000"/>
          <w:rFonts w:ascii="Arial" w:eastAsia="Arial" w:hAnsi="Arial" w:cs="Arial"/>
          <w:sz w:val="23"/>
          <w:szCs w:val="23"/>
        </w:rPr>
        <w:t xml:space="preserve"> in Section 3.6 to ensure taxonomical clarity.</w:t>
      </w:r>
    </w:p>
    <w:p w:rsidR="00A77427" w:rsidRDefault="007F1D13">
      <w:pPr>
        <w:ind/>
      </w:pPr>
      <w:r>
        <w:rPr>
          <w:color w:val="000000"/>
          <w:b/>
          <w:bCs/>
          <w:rFonts w:ascii="Arial" w:eastAsia="Arial" w:hAnsi="Arial" w:cs="Arial"/>
          <w:sz w:val="23"/>
          <w:szCs w:val="23"/>
        </w:rPr>
        <w:t>Flawed presentation of the study selection process</w:t>
      </w:r>
      <w:r>
        <w:rPr>
          <w:color w:val="000000"/>
          <w:rFonts w:ascii="Arial" w:eastAsia="Arial" w:hAnsi="Arial" w:cs="Arial"/>
          <w:sz w:val="23"/>
          <w:szCs w:val="23"/>
        </w:rPr>
        <w:t xml:space="preserve"> and missing statistical validation for inter-rater reliability.</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Clarity : Reviewer 3 identified disjointed visual placeholders replacing the PRISMA flow diagram and noted the logical impact of the narrow CQI range was not articulated.</w:t>
      </w:r>
    </w:p>
    <w:p w:rsidR="00A77427" w:rsidRDefault="007F1D13">
      <w:pPr>
        <w:ind/>
      </w:pPr>
      <w:r>
        <w:rPr>
          <w:color w:val="000000"/>
          <w:rFonts w:ascii="Arial" w:eastAsia="Arial" w:hAnsi="Arial" w:cs="Arial"/>
          <w:sz w:val="23"/>
          <w:szCs w:val="23"/>
        </w:rPr>
        <w:t>Rigor : Reviewer 2 pointed out the absence of a quantitative inter-rater reliability (IRR) statistic in (Block: 112) to justify consensus decisions.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Replace the fragmented placeholders in (Block: 78) through (Block: 89) with a consolidated </w:t>
      </w:r>
      <w:r>
        <w:rPr>
          <w:color w:val="000000"/>
          <w:b/>
          <w:bCs/>
          <w:rFonts w:ascii="Arial" w:eastAsia="Arial" w:hAnsi="Arial" w:cs="Arial"/>
          <w:sz w:val="23"/>
          <w:szCs w:val="23"/>
        </w:rPr>
        <w:t>PRISMA-style flow figure</w:t>
      </w:r>
      <w:r>
        <w:rPr>
          <w:color w:val="000000"/>
          <w:rFonts w:ascii="Arial" w:eastAsia="Arial" w:hAnsi="Arial" w:cs="Arial"/>
          <w:sz w:val="23"/>
          <w:szCs w:val="23"/>
        </w:rPr>
        <w:t>.</w:t>
      </w:r>
    </w:p>
    <w:p w:rsidR="00A77427" w:rsidRDefault="007F1D13">
      <w:pPr>
        <w:ind/>
      </w:pPr>
      <w:r>
        <w:rPr>
          <w:color w:val="000000"/>
          <w:rFonts w:ascii="Arial" w:eastAsia="Arial" w:hAnsi="Arial" w:cs="Arial"/>
          <w:sz w:val="23"/>
          <w:szCs w:val="23"/>
        </w:rPr>
        <w:t xml:space="preserve">Calculate and report </w:t>
      </w:r>
      <w:r>
        <w:rPr>
          <w:color w:val="000000"/>
          <w:b/>
          <w:bCs/>
          <w:rFonts w:ascii="Arial" w:eastAsia="Arial" w:hAnsi="Arial" w:cs="Arial"/>
          <w:sz w:val="23"/>
          <w:szCs w:val="23"/>
        </w:rPr>
        <w:t>Cohen’s Kappa</w:t>
      </w:r>
      <w:r>
        <w:rPr>
          <w:color w:val="000000"/>
          <w:rFonts w:ascii="Arial" w:eastAsia="Arial" w:hAnsi="Arial" w:cs="Arial"/>
          <w:sz w:val="23"/>
          <w:szCs w:val="23"/>
        </w:rPr>
        <w:t xml:space="preserve"> or </w:t>
      </w:r>
      <w:r>
        <w:rPr>
          <w:color w:val="000000"/>
          <w:b/>
          <w:bCs/>
          <w:rFonts w:ascii="Arial" w:eastAsia="Arial" w:hAnsi="Arial" w:cs="Arial"/>
          <w:sz w:val="23"/>
          <w:szCs w:val="23"/>
        </w:rPr>
        <w:t>Fleiss’ Kappa</w:t>
      </w:r>
      <w:r>
        <w:rPr>
          <w:color w:val="000000"/>
          <w:rFonts w:ascii="Arial" w:eastAsia="Arial" w:hAnsi="Arial" w:cs="Arial"/>
          <w:sz w:val="23"/>
          <w:szCs w:val="23"/>
        </w:rPr>
        <w:t xml:space="preserve"> in (Block: 112) to numerically validate inter-reviewer agreement.</w:t>
      </w:r>
    </w:p>
    <w:p w:rsidR="00A77427" w:rsidRDefault="007F1D13">
      <w:pPr>
        <w:ind/>
      </w:pPr>
      <w:r>
        <w:rPr>
          <w:color w:val="000000"/>
          <w:rFonts w:ascii="Arial" w:eastAsia="Arial" w:hAnsi="Arial" w:cs="Arial"/>
          <w:sz w:val="23"/>
          <w:szCs w:val="23"/>
        </w:rPr>
        <w:t>Insert an analytical statement regarding the narrow CQI range’s impact on methodological consistency.</w:t>
      </w:r>
    </w:p>
    <w:p w:rsidR="00A77427" w:rsidRDefault="007F1D13">
      <w:pPr>
        <w:ind/>
      </w:pPr>
      <w:r>
        <w:rPr>
          <w:color w:val="000000"/>
          <w:b/>
          <w:bCs/>
          <w:rFonts w:ascii="Arial" w:eastAsia="Arial" w:hAnsi="Arial" w:cs="Arial"/>
          <w:sz w:val="23"/>
          <w:szCs w:val="23"/>
        </w:rPr>
        <w:t>Insufficient critical appraisal of data transparency and validation design</w:t>
      </w:r>
      <w:r>
        <w:rPr>
          <w:color w:val="000000"/>
          <w:rFonts w:ascii="Arial" w:eastAsia="Arial" w:hAnsi="Arial" w:cs="Arial"/>
          <w:sz w:val="23"/>
          <w:szCs w:val="23"/>
        </w:rPr>
        <w:t xml:space="preserve"> among the primary studies, coupled with generic benchmarking critiques.</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Rigor : Reviewer 2 criticized the lack of a critical appraisal of data transparency and validation design, such as cross-validation versus hold-out sets, in (Block: 132).</w:t>
      </w:r>
    </w:p>
    <w:p w:rsidR="00A77427" w:rsidRDefault="007F1D13">
      <w:pPr>
        <w:ind/>
      </w:pPr>
      <w:r>
        <w:rPr>
          <w:color w:val="000000"/>
          <w:rFonts w:ascii="Arial" w:eastAsia="Arial" w:hAnsi="Arial" w:cs="Arial"/>
          <w:sz w:val="23"/>
          <w:szCs w:val="23"/>
        </w:rPr>
        <w:t>Novelty : Reviewer 1 found the benchmarking critique in (Block: 298) too generic, lacking references to standardized platforms.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Create a </w:t>
      </w:r>
      <w:r>
        <w:rPr>
          <w:color w:val="000000"/>
          <w:b/>
          <w:bCs/>
          <w:rFonts w:ascii="Arial" w:eastAsia="Arial" w:hAnsi="Arial" w:cs="Arial"/>
          <w:sz w:val="23"/>
          <w:szCs w:val="23"/>
        </w:rPr>
        <w:t>Summary Matrix</w:t>
      </w:r>
      <w:r>
        <w:rPr>
          <w:color w:val="000000"/>
          <w:rFonts w:ascii="Arial" w:eastAsia="Arial" w:hAnsi="Arial" w:cs="Arial"/>
          <w:sz w:val="23"/>
          <w:szCs w:val="23"/>
        </w:rPr>
        <w:t xml:space="preserve"> in the synthesis section detailing </w:t>
      </w:r>
      <w:r>
        <w:rPr>
          <w:color w:val="000000"/>
          <w:b/>
          <w:bCs/>
          <w:rFonts w:ascii="Arial" w:eastAsia="Arial" w:hAnsi="Arial" w:cs="Arial"/>
          <w:sz w:val="23"/>
          <w:szCs w:val="23"/>
        </w:rPr>
        <w:t>Validation Method</w:t>
      </w:r>
      <w:r>
        <w:rPr>
          <w:color w:val="000000"/>
          <w:rFonts w:ascii="Arial" w:eastAsia="Arial" w:hAnsi="Arial" w:cs="Arial"/>
          <w:sz w:val="23"/>
          <w:szCs w:val="23"/>
        </w:rPr>
        <w:t xml:space="preserve"> and </w:t>
      </w:r>
      <w:r>
        <w:rPr>
          <w:color w:val="000000"/>
          <w:b/>
          <w:bCs/>
          <w:rFonts w:ascii="Arial" w:eastAsia="Arial" w:hAnsi="Arial" w:cs="Arial"/>
          <w:sz w:val="23"/>
          <w:szCs w:val="23"/>
        </w:rPr>
        <w:t>Data Source</w:t>
      </w:r>
      <w:r>
        <w:rPr>
          <w:color w:val="000000"/>
          <w:rFonts w:ascii="Arial" w:eastAsia="Arial" w:hAnsi="Arial" w:cs="Arial"/>
          <w:sz w:val="23"/>
          <w:szCs w:val="23"/>
        </w:rPr>
        <w:t>, explicitly flagging potential optimism bias.</w:t>
      </w:r>
    </w:p>
    <w:p w:rsidR="00A77427" w:rsidRDefault="007F1D13">
      <w:pPr>
        <w:ind/>
      </w:pPr>
      <w:r>
        <w:rPr>
          <w:color w:val="000000"/>
          <w:rFonts w:ascii="Arial" w:eastAsia="Arial" w:hAnsi="Arial" w:cs="Arial"/>
          <w:sz w:val="23"/>
          <w:szCs w:val="23"/>
        </w:rPr>
        <w:t xml:space="preserve">Insert a column in the summary table for </w:t>
      </w:r>
      <w:r>
        <w:rPr>
          <w:color w:val="000000"/>
          <w:b/>
          <w:bCs/>
          <w:rFonts w:ascii="Arial" w:eastAsia="Arial" w:hAnsi="Arial" w:cs="Arial"/>
          <w:sz w:val="23"/>
          <w:szCs w:val="23"/>
        </w:rPr>
        <w:t>‘Publicly Available Code/Data’</w:t>
      </w:r>
      <w:r>
        <w:rPr>
          <w:color w:val="000000"/>
          <w:rFonts w:ascii="Arial" w:eastAsia="Arial" w:hAnsi="Arial" w:cs="Arial"/>
          <w:sz w:val="23"/>
          <w:szCs w:val="23"/>
        </w:rPr>
        <w:t xml:space="preserve"> to assess reproducibility.</w:t>
      </w:r>
    </w:p>
    <w:p w:rsidR="00A77427" w:rsidRDefault="007F1D13">
      <w:pPr>
        <w:ind/>
      </w:pPr>
      <w:r>
        <w:rPr>
          <w:color w:val="000000"/>
          <w:rFonts w:ascii="Arial" w:eastAsia="Arial" w:hAnsi="Arial" w:cs="Arial"/>
          <w:sz w:val="23"/>
          <w:szCs w:val="23"/>
        </w:rPr>
        <w:t>Directly cite standard benchmarking protocols from (Paper: 27) in (Block: 298) to advocate for shared evaluation platforms.</w:t>
      </w:r>
    </w:p>
    <w:p w:rsidR="00A77427" w:rsidRDefault="007F1D13">
      <w:pPr>
        <w:ind/>
      </w:pPr>
      <w:r>
        <w:rPr>
          <w:color w:val="000000"/>
          <w:b/>
          <w:bCs/>
          <w:rFonts w:ascii="Arial" w:eastAsia="Arial" w:hAnsi="Arial" w:cs="Arial"/>
          <w:sz w:val="23"/>
          <w:szCs w:val="23"/>
        </w:rPr>
        <w:t>Underdeveloped discussion on Explainable AI (XAI) and operational deployment metrics</w:t>
      </w:r>
      <w:r>
        <w:rPr>
          <w:color w:val="000000"/>
          <w:rFonts w:ascii="Arial" w:eastAsia="Arial" w:hAnsi="Arial" w:cs="Arial"/>
          <w:sz w:val="23"/>
          <w:szCs w:val="23"/>
        </w:rPr>
        <w:t>, failing to provide concrete targets for real-world municipal adoption.</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Novelty : Reviewer 1 and Reviewer 5 consistently identified the XAI discussion in (Block: 301) as too abstract, missing actionable frameworks.</w:t>
      </w:r>
    </w:p>
    <w:p w:rsidR="00A77427" w:rsidRDefault="007F1D13">
      <w:pPr>
        <w:ind/>
      </w:pPr>
      <w:r>
        <w:rPr>
          <w:color w:val="000000"/>
          <w:rFonts w:ascii="Arial" w:eastAsia="Arial" w:hAnsi="Arial" w:cs="Arial"/>
          <w:sz w:val="23"/>
          <w:szCs w:val="23"/>
        </w:rPr>
        <w:t>Impact : Reviewer 4 noted that (Block: 267) lacks specific operational metrics like inference latency and computational overhead.</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Strengthen (Block: 301) by recommending </w:t>
      </w:r>
      <w:r>
        <w:rPr>
          <w:color w:val="000000"/>
          <w:b/>
          <w:bCs/>
          <w:rFonts w:ascii="Arial" w:eastAsia="Arial" w:hAnsi="Arial" w:cs="Arial"/>
          <w:sz w:val="23"/>
          <w:szCs w:val="23"/>
        </w:rPr>
        <w:t>attention-based visualization</w:t>
      </w:r>
      <w:r>
        <w:rPr>
          <w:color w:val="000000"/>
          <w:rFonts w:ascii="Arial" w:eastAsia="Arial" w:hAnsi="Arial" w:cs="Arial"/>
          <w:sz w:val="23"/>
          <w:szCs w:val="23"/>
        </w:rPr>
        <w:t xml:space="preserve"> and </w:t>
      </w:r>
      <w:r>
        <w:rPr>
          <w:color w:val="000000"/>
          <w:b/>
          <w:bCs/>
          <w:rFonts w:ascii="Arial" w:eastAsia="Arial" w:hAnsi="Arial" w:cs="Arial"/>
          <w:sz w:val="23"/>
          <w:szCs w:val="23"/>
        </w:rPr>
        <w:t>feature-impact analysis (SHAP)</w:t>
      </w:r>
      <w:r>
        <w:rPr>
          <w:color w:val="000000"/>
          <w:rFonts w:ascii="Arial" w:eastAsia="Arial" w:hAnsi="Arial" w:cs="Arial"/>
          <w:sz w:val="23"/>
          <w:szCs w:val="23"/>
        </w:rPr>
        <w:t xml:space="preserve"> to enhance operator trust, referencing (Paper: 31) and (Paper: 36).</w:t>
      </w:r>
    </w:p>
    <w:p w:rsidR="00A77427" w:rsidRDefault="007F1D13">
      <w:pPr>
        <w:ind/>
      </w:pPr>
      <w:r>
        <w:rPr>
          <w:color w:val="000000"/>
          <w:rFonts w:ascii="Arial" w:eastAsia="Arial" w:hAnsi="Arial" w:cs="Arial"/>
          <w:sz w:val="23"/>
          <w:szCs w:val="23"/>
        </w:rPr>
        <w:t xml:space="preserve">Include a formal recommendation to report </w:t>
      </w:r>
      <w:r>
        <w:rPr>
          <w:color w:val="000000"/>
          <w:b/>
          <w:bCs/>
          <w:rFonts w:ascii="Arial" w:eastAsia="Arial" w:hAnsi="Arial" w:cs="Arial"/>
          <w:sz w:val="23"/>
          <w:szCs w:val="23"/>
        </w:rPr>
        <w:t>inference latency</w:t>
      </w:r>
      <w:r>
        <w:rPr>
          <w:color w:val="000000"/>
          <w:rFonts w:ascii="Arial" w:eastAsia="Arial" w:hAnsi="Arial" w:cs="Arial"/>
          <w:sz w:val="23"/>
          <w:szCs w:val="23"/>
        </w:rPr>
        <w:t xml:space="preserve"> and </w:t>
      </w:r>
      <w:r>
        <w:rPr>
          <w:color w:val="000000"/>
          <w:b/>
          <w:bCs/>
          <w:rFonts w:ascii="Arial" w:eastAsia="Arial" w:hAnsi="Arial" w:cs="Arial"/>
          <w:sz w:val="23"/>
          <w:szCs w:val="23"/>
        </w:rPr>
        <w:t>computational overhead</w:t>
      </w:r>
      <w:r>
        <w:rPr>
          <w:color w:val="000000"/>
          <w:rFonts w:ascii="Arial" w:eastAsia="Arial" w:hAnsi="Arial" w:cs="Arial"/>
          <w:sz w:val="23"/>
          <w:szCs w:val="23"/>
        </w:rPr>
        <w:t xml:space="preserve"> for real-world deployment.</w:t>
      </w:r>
    </w:p>
    <w:p w:rsidR="00A77427" w:rsidRDefault="007F1D13">
      <w:pPr>
        <w:ind/>
      </w:pPr>
      <w:r>
        <w:rPr>
          <w:color w:val="000000"/>
          <w:rFonts w:ascii="Arial" w:eastAsia="Arial" w:hAnsi="Arial" w:cs="Arial"/>
          <w:sz w:val="23"/>
          <w:szCs w:val="23"/>
        </w:rPr>
        <w:t xml:space="preserve">Define </w:t>
      </w:r>
      <w:r>
        <w:rPr>
          <w:color w:val="000000"/>
          <w:b/>
          <w:bCs/>
          <w:rFonts w:ascii="Arial" w:eastAsia="Arial" w:hAnsi="Arial" w:cs="Arial"/>
          <w:sz w:val="23"/>
          <w:szCs w:val="23"/>
        </w:rPr>
        <w:t>human-in-the-loop decision improvement rates</w:t>
      </w:r>
      <w:r>
        <w:rPr>
          <w:color w:val="000000"/>
          <w:rFonts w:ascii="Arial" w:eastAsia="Arial" w:hAnsi="Arial" w:cs="Arial"/>
          <w:sz w:val="23"/>
          <w:szCs w:val="23"/>
        </w:rPr>
        <w:t xml:space="preserve"> essential for civic adoption and regulatory compliance.</w:t>
      </w:r>
    </w:p>
    <w:p w:rsidR="00A77427" w:rsidRDefault="007F1D13">
      <w:pPr>
        <w:ind/>
      </w:pPr>
      <w:r>
        <w:rPr>
          <w:color w:val="000000"/>
          <w:b/>
          <w:bCs/>
          <w:rFonts w:ascii="Arial" w:eastAsia="Arial" w:hAnsi="Arial" w:cs="Arial"/>
          <w:sz w:val="23"/>
          <w:szCs w:val="23"/>
        </w:rPr>
        <w:t>Future work section lacks specific strategies to address domain shift, cross-domain transferability, and severe data imbalance</w:t>
      </w:r>
      <w:r>
        <w:rPr>
          <w:color w:val="000000"/>
          <w:rFonts w:ascii="Arial" w:eastAsia="Arial" w:hAnsi="Arial" w:cs="Arial"/>
          <w:sz w:val="23"/>
          <w:szCs w:val="23"/>
        </w:rPr>
        <w:t>.</w:t>
      </w:r>
    </w:p>
    <w:p w:rsidR="00A77427" w:rsidRDefault="007F1D13">
      <w:pPr>
        <w:ind/>
      </w:pPr>
      <w:r>
        <w:rPr>
          <w:color w:val="000000"/>
          <w:b/>
          <w:bCs/>
          <w:rFonts w:ascii="Arial" w:eastAsia="Arial" w:hAnsi="Arial" w:cs="Arial"/>
          <w:sz w:val="23"/>
          <w:szCs w:val="23"/>
        </w:rPr>
        <w:t>Supporting evidence</w:t>
      </w:r>
    </w:p>
    <w:p w:rsidR="00A77427" w:rsidRDefault="007F1D13">
      <w:pPr>
        <w:ind/>
      </w:pPr>
      <w:r>
        <w:rPr>
          <w:color w:val="000000"/>
          <w:rFonts w:ascii="Arial" w:eastAsia="Arial" w:hAnsi="Arial" w:cs="Arial"/>
          <w:sz w:val="23"/>
          <w:szCs w:val="23"/>
        </w:rPr>
        <w:t>Limitation : Reviewer 5 noted the future work in (Block: 307) is overly high-level regarding domain shift and data imbalance methodologies.</w:t>
      </w:r>
    </w:p>
    <w:p w:rsidR="00A77427" w:rsidRDefault="007F1D13">
      <w:pPr>
        <w:ind/>
      </w:pPr>
      <w:r>
        <w:rPr>
          <w:color w:val="000000"/>
          <w:rFonts w:ascii="Arial" w:eastAsia="Arial" w:hAnsi="Arial" w:cs="Arial"/>
          <w:sz w:val="23"/>
          <w:szCs w:val="23"/>
        </w:rPr>
        <w:t>Impact : Reviewer 4 echoed the missing potential of Domain-Adaptive Pre-Training (DAPT) for bridging simulated and live environments.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Explicitly recommend </w:t>
      </w:r>
      <w:r>
        <w:rPr>
          <w:color w:val="000000"/>
          <w:b/>
          <w:bCs/>
          <w:rFonts w:ascii="Arial" w:eastAsia="Arial" w:hAnsi="Arial" w:cs="Arial"/>
          <w:sz w:val="23"/>
          <w:szCs w:val="23"/>
        </w:rPr>
        <w:t>Domain-Adaptive Pre-Training (DAPT)</w:t>
      </w:r>
      <w:r>
        <w:rPr>
          <w:color w:val="000000"/>
          <w:rFonts w:ascii="Arial" w:eastAsia="Arial" w:hAnsi="Arial" w:cs="Arial"/>
          <w:sz w:val="23"/>
          <w:szCs w:val="23"/>
        </w:rPr>
        <w:t xml:space="preserve"> on unlabeled real-world data as a pathway to model portability, referencing (Paper: 14).</w:t>
      </w:r>
    </w:p>
    <w:p w:rsidR="00A77427" w:rsidRDefault="007F1D13">
      <w:pPr>
        <w:ind/>
      </w:pPr>
      <w:r>
        <w:rPr>
          <w:color w:val="000000"/>
          <w:rFonts w:ascii="Arial" w:eastAsia="Arial" w:hAnsi="Arial" w:cs="Arial"/>
          <w:sz w:val="23"/>
          <w:szCs w:val="23"/>
        </w:rPr>
        <w:t xml:space="preserve">Propose </w:t>
      </w:r>
      <w:r>
        <w:rPr>
          <w:color w:val="000000"/>
          <w:b/>
          <w:bCs/>
          <w:rFonts w:ascii="Arial" w:eastAsia="Arial" w:hAnsi="Arial" w:cs="Arial"/>
          <w:sz w:val="23"/>
          <w:szCs w:val="23"/>
        </w:rPr>
        <w:t>hybrid resampling strategies</w:t>
      </w:r>
      <w:r>
        <w:rPr>
          <w:color w:val="000000"/>
          <w:rFonts w:ascii="Arial" w:eastAsia="Arial" w:hAnsi="Arial" w:cs="Arial"/>
          <w:sz w:val="23"/>
          <w:szCs w:val="23"/>
        </w:rPr>
        <w:t xml:space="preserve"> (e.g., RUS and SMOTE) to tackle the ‘long-tail’ anomaly data imbalance, citing (Paper: 19).</w:t>
      </w:r>
    </w:p>
    <w:p w:rsidR="00A77427" w:rsidRDefault="007F1D13">
      <w:pPr>
        <w:ind/>
      </w:pPr>
      <w:r>
        <w:rPr>
          <w:color w:val="000000"/>
          <w:rFonts w:ascii="Arial" w:eastAsia="Arial" w:hAnsi="Arial" w:cs="Arial"/>
          <w:sz w:val="23"/>
          <w:szCs w:val="23"/>
        </w:rPr>
        <w:t xml:space="preserve">Recommend benchmarking across </w:t>
      </w:r>
      <w:r>
        <w:rPr>
          <w:color w:val="000000"/>
          <w:b/>
          <w:bCs/>
          <w:rFonts w:ascii="Arial" w:eastAsia="Arial" w:hAnsi="Arial" w:cs="Arial"/>
          <w:sz w:val="23"/>
          <w:szCs w:val="23"/>
        </w:rPr>
        <w:t>diverse urban topologies</w:t>
      </w:r>
      <w:r>
        <w:rPr>
          <w:color w:val="000000"/>
          <w:rFonts w:ascii="Arial" w:eastAsia="Arial" w:hAnsi="Arial" w:cs="Arial"/>
          <w:sz w:val="23"/>
          <w:szCs w:val="23"/>
        </w:rPr>
        <w:t xml:space="preserve"> to quantify societal impact and robustness across different environments.</w:t>
      </w:r>
    </w:p>
    <w:p w:rsidR="00A77427" w:rsidRDefault="007F1D13">
      <w:pPr>
        <w:ind/>
      </w:pPr>
      <w:r>
        <w:rPr>
          <w:color w:val="000000"/>
          <w:b/>
          <w:bCs/>
          <w:rFonts w:ascii="Arial" w:eastAsia="Arial" w:hAnsi="Arial" w:cs="Arial"/>
          <w:sz w:val="28"/>
          <w:szCs w:val="28"/>
        </w:rPr>
        <w:t>📚 Reviewer 1 (Novelty)</w:t>
      </w:r>
    </w:p>
    <w:p w:rsidR="00A77427" w:rsidRDefault="007F1D13">
      <w:pPr>
        <w:ind/>
      </w:pPr>
      <w:r>
        <w:rPr>
          <w:color w:val="000000"/>
          <w:b/>
          <w:bCs/>
          <w:rFonts w:ascii="Arial" w:eastAsia="Arial" w:hAnsi="Arial" w:cs="Arial"/>
          <w:sz w:val="25"/>
          <w:szCs w:val="25"/>
        </w:rPr>
        <w:t>Strengths</w:t>
      </w:r>
    </w:p>
    <w:p w:rsidR="00A77427" w:rsidRDefault="007F1D13">
      <w:pPr>
        <w:ind/>
      </w:pPr>
      <w:r>
        <w:rPr>
          <w:color w:val="000000"/>
          <w:rFonts w:ascii="Arial" w:eastAsia="Arial" w:hAnsi="Arial" w:cs="Arial"/>
          <w:sz w:val="23"/>
          <w:szCs w:val="23"/>
        </w:rPr>
        <w:t xml:space="preserve">The review provides a </w:t>
      </w:r>
      <w:r>
        <w:rPr>
          <w:color w:val="000000"/>
          <w:b/>
          <w:bCs/>
          <w:rFonts w:ascii="Arial" w:eastAsia="Arial" w:hAnsi="Arial" w:cs="Arial"/>
          <w:sz w:val="23"/>
          <w:szCs w:val="23"/>
        </w:rPr>
        <w:t>highly structured taxonomy</w:t>
      </w:r>
      <w:r>
        <w:rPr>
          <w:color w:val="000000"/>
          <w:rFonts w:ascii="Arial" w:eastAsia="Arial" w:hAnsi="Arial" w:cs="Arial"/>
          <w:sz w:val="23"/>
          <w:szCs w:val="23"/>
        </w:rPr>
        <w:t xml:space="preserve"> of deep learning architectures (recurrent, convolutional, autoencoders, GNNs, Transformers), which effectively maps recent literature to specific traffic anomaly detection tasks, mirroring the </w:t>
      </w:r>
      <w:r>
        <w:rPr>
          <w:color w:val="000000"/>
          <w:b/>
          <w:bCs/>
          <w:rFonts w:ascii="Arial" w:eastAsia="Arial" w:hAnsi="Arial" w:cs="Arial"/>
          <w:sz w:val="23"/>
          <w:szCs w:val="23"/>
        </w:rPr>
        <w:t>systematic classification frameworks</w:t>
      </w:r>
      <w:r>
        <w:rPr>
          <w:color w:val="000000"/>
          <w:rFonts w:ascii="Arial" w:eastAsia="Arial" w:hAnsi="Arial" w:cs="Arial"/>
          <w:sz w:val="23"/>
          <w:szCs w:val="23"/>
        </w:rPr>
        <w:t xml:space="preserve"> presented in (Paper: 1) and (Paper: 25).</w:t>
      </w:r>
    </w:p>
    <w:p w:rsidR="00A77427" w:rsidRDefault="007F1D13">
      <w:pPr>
        <w:ind/>
      </w:pPr>
      <w:r>
        <w:rPr>
          <w:color w:val="000000"/>
          <w:rFonts w:ascii="Arial" w:eastAsia="Arial" w:hAnsi="Arial" w:cs="Arial"/>
          <w:sz w:val="23"/>
          <w:szCs w:val="23"/>
        </w:rPr>
        <w:t xml:space="preserve">The synthesis in (Block: 215) demonstrates an </w:t>
      </w:r>
      <w:r>
        <w:rPr>
          <w:color w:val="000000"/>
          <w:b/>
          <w:bCs/>
          <w:rFonts w:ascii="Arial" w:eastAsia="Arial" w:hAnsi="Arial" w:cs="Arial"/>
          <w:sz w:val="23"/>
          <w:szCs w:val="23"/>
        </w:rPr>
        <w:t>expert-level mapping</w:t>
      </w:r>
      <w:r>
        <w:rPr>
          <w:color w:val="000000"/>
          <w:rFonts w:ascii="Arial" w:eastAsia="Arial" w:hAnsi="Arial" w:cs="Arial"/>
          <w:sz w:val="23"/>
          <w:szCs w:val="23"/>
        </w:rPr>
        <w:t xml:space="preserve"> between model architectures and traffic anomaly types, accurately identifying the recent paradigm shift toward </w:t>
      </w:r>
      <w:r>
        <w:rPr>
          <w:color w:val="000000"/>
          <w:b/>
          <w:bCs/>
          <w:rFonts w:ascii="Arial" w:eastAsia="Arial" w:hAnsi="Arial" w:cs="Arial"/>
          <w:sz w:val="23"/>
          <w:szCs w:val="23"/>
        </w:rPr>
        <w:t>spatio-temporal and multimodal integration</w:t>
      </w:r>
      <w:r>
        <w:rPr>
          <w:color w:val="000000"/>
          <w:rFonts w:ascii="Arial" w:eastAsia="Arial" w:hAnsi="Arial" w:cs="Arial"/>
          <w:sz w:val="23"/>
          <w:szCs w:val="23"/>
        </w:rPr>
        <w:t xml:space="preserve"> as advocated in (Paper: 12).</w:t>
      </w:r>
    </w:p>
    <w:p w:rsidR="00A77427" w:rsidRDefault="007F1D13">
      <w:pPr>
        <w:ind/>
      </w:pPr>
      <w:r>
        <w:rPr>
          <w:color w:val="000000"/>
          <w:b/>
          <w:bCs/>
          <w:rFonts w:ascii="Arial" w:eastAsia="Arial" w:hAnsi="Arial" w:cs="Arial"/>
          <w:sz w:val="25"/>
          <w:szCs w:val="25"/>
        </w:rPr>
        <w:t>Weaknesses</w:t>
      </w:r>
    </w:p>
    <w:p w:rsidR="00A77427" w:rsidRDefault="007F1D13">
      <w:pPr>
        <w:ind/>
      </w:pPr>
      <w:r>
        <w:rPr>
          <w:color w:val="000000"/>
          <w:rFonts w:ascii="Arial" w:eastAsia="Arial" w:hAnsi="Arial" w:cs="Arial"/>
          <w:sz w:val="23"/>
          <w:szCs w:val="23"/>
        </w:rPr>
        <w:t xml:space="preserve">In (Block: 14), the introduction fails to explicitly differentiate this review from broader, already existing traffic flow forecasting surveys, weakening the claim of </w:t>
      </w:r>
      <w:r>
        <w:rPr>
          <w:color w:val="000000"/>
          <w:b/>
          <w:bCs/>
          <w:rFonts w:ascii="Arial" w:eastAsia="Arial" w:hAnsi="Arial" w:cs="Arial"/>
          <w:sz w:val="23"/>
          <w:szCs w:val="23"/>
        </w:rPr>
        <w:t>novelty</w:t>
      </w:r>
      <w:r>
        <w:rPr>
          <w:color w:val="000000"/>
          <w:rFonts w:ascii="Arial" w:eastAsia="Arial" w:hAnsi="Arial" w:cs="Arial"/>
          <w:sz w:val="23"/>
          <w:szCs w:val="23"/>
        </w:rPr>
        <w:t xml:space="preserve"> and the justification for a new review.</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Incorporate a comparative paragraph in (Block: 14) that explicitly contrasts the </w:t>
      </w:r>
      <w:r>
        <w:rPr>
          <w:color w:val="000000"/>
          <w:b/>
          <w:bCs/>
          <w:rFonts w:ascii="Arial" w:eastAsia="Arial" w:hAnsi="Arial" w:cs="Arial"/>
          <w:sz w:val="23"/>
          <w:szCs w:val="23"/>
        </w:rPr>
        <w:t>narrow focus on anomaly detection</w:t>
      </w:r>
      <w:r>
        <w:rPr>
          <w:color w:val="000000"/>
          <w:rFonts w:ascii="Arial" w:eastAsia="Arial" w:hAnsi="Arial" w:cs="Arial"/>
          <w:sz w:val="23"/>
          <w:szCs w:val="23"/>
        </w:rPr>
        <w:t xml:space="preserve"> of this review with the broader ITS-wide survey scopes found in (Paper: 1) and (Paper: 13).</w:t>
      </w:r>
    </w:p>
    <w:p w:rsidR="00A77427" w:rsidRDefault="007F1D13">
      <w:pPr>
        <w:ind/>
      </w:pPr>
      <w:r>
        <w:rPr>
          <w:color w:val="000000"/>
          <w:rFonts w:ascii="Arial" w:eastAsia="Arial" w:hAnsi="Arial" w:cs="Arial"/>
          <w:sz w:val="23"/>
          <w:szCs w:val="23"/>
        </w:rPr>
        <w:t xml:space="preserve">Add a definitive statement in (Block: 14) highlighting that the </w:t>
      </w:r>
      <w:r>
        <w:rPr>
          <w:color w:val="000000"/>
          <w:b/>
          <w:bCs/>
          <w:rFonts w:ascii="Arial" w:eastAsia="Arial" w:hAnsi="Arial" w:cs="Arial"/>
          <w:sz w:val="23"/>
          <w:szCs w:val="23"/>
        </w:rPr>
        <w:t>2024-2026 inclusion criteria</w:t>
      </w:r>
      <w:r>
        <w:rPr>
          <w:color w:val="000000"/>
          <w:rFonts w:ascii="Arial" w:eastAsia="Arial" w:hAnsi="Arial" w:cs="Arial"/>
          <w:sz w:val="23"/>
          <w:szCs w:val="23"/>
        </w:rPr>
        <w:t xml:space="preserve"> allows for a unique analysis of recent </w:t>
      </w:r>
      <w:r>
        <w:rPr>
          <w:color w:val="000000"/>
          <w:b/>
          <w:bCs/>
          <w:rFonts w:ascii="Arial" w:eastAsia="Arial" w:hAnsi="Arial" w:cs="Arial"/>
          <w:sz w:val="23"/>
          <w:szCs w:val="23"/>
        </w:rPr>
        <w:t>architectural transitions</w:t>
      </w:r>
      <w:r>
        <w:rPr>
          <w:color w:val="000000"/>
          <w:rFonts w:ascii="Arial" w:eastAsia="Arial" w:hAnsi="Arial" w:cs="Arial"/>
          <w:sz w:val="23"/>
          <w:szCs w:val="23"/>
        </w:rPr>
        <w:t xml:space="preserve"> (e.g., GNNs and Transformers) not fully covered in earlier studies like (Paper: 28).</w:t>
      </w:r>
    </w:p>
    <w:p w:rsidR="00A77427" w:rsidRDefault="007F1D13">
      <w:pPr>
        <w:ind/>
      </w:pPr>
      <w:r>
        <w:rPr>
          <w:color w:val="000000"/>
          <w:rFonts w:ascii="Arial" w:eastAsia="Arial" w:hAnsi="Arial" w:cs="Arial"/>
          <w:sz w:val="23"/>
          <w:szCs w:val="23"/>
        </w:rPr>
        <w:t xml:space="preserve">The discussion in (Block: 301) regarding interpretable AI is underdeveloped and lacks concrete, actionable references to </w:t>
      </w:r>
      <w:r>
        <w:rPr>
          <w:color w:val="000000"/>
          <w:b/>
          <w:bCs/>
          <w:rFonts w:ascii="Arial" w:eastAsia="Arial" w:hAnsi="Arial" w:cs="Arial"/>
          <w:sz w:val="23"/>
          <w:szCs w:val="23"/>
        </w:rPr>
        <w:t>modern explanation frameworks</w:t>
      </w:r>
      <w:r>
        <w:rPr>
          <w:color w:val="000000"/>
          <w:rFonts w:ascii="Arial" w:eastAsia="Arial" w:hAnsi="Arial" w:cs="Arial"/>
          <w:sz w:val="23"/>
          <w:szCs w:val="23"/>
        </w:rPr>
        <w:t xml:space="preserve"> currently applied in traffic anomaly literature.</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Strengthen the discussion in (Block: 301) by explicitly recommending that researchers adopt </w:t>
      </w:r>
      <w:r>
        <w:rPr>
          <w:color w:val="000000"/>
          <w:b/>
          <w:bCs/>
          <w:rFonts w:ascii="Arial" w:eastAsia="Arial" w:hAnsi="Arial" w:cs="Arial"/>
          <w:sz w:val="23"/>
          <w:szCs w:val="23"/>
        </w:rPr>
        <w:t>attention-based visualization</w:t>
      </w:r>
      <w:r>
        <w:rPr>
          <w:color w:val="000000"/>
          <w:rFonts w:ascii="Arial" w:eastAsia="Arial" w:hAnsi="Arial" w:cs="Arial"/>
          <w:sz w:val="23"/>
          <w:szCs w:val="23"/>
        </w:rPr>
        <w:t xml:space="preserve"> and </w:t>
      </w:r>
      <w:r>
        <w:rPr>
          <w:color w:val="000000"/>
          <w:b/>
          <w:bCs/>
          <w:rFonts w:ascii="Arial" w:eastAsia="Arial" w:hAnsi="Arial" w:cs="Arial"/>
          <w:sz w:val="23"/>
          <w:szCs w:val="23"/>
        </w:rPr>
        <w:t>feature-impact analysis</w:t>
      </w:r>
      <w:r>
        <w:rPr>
          <w:color w:val="000000"/>
          <w:rFonts w:ascii="Arial" w:eastAsia="Arial" w:hAnsi="Arial" w:cs="Arial"/>
          <w:sz w:val="23"/>
          <w:szCs w:val="23"/>
        </w:rPr>
        <w:t xml:space="preserve"> (e.g., SHAP) as demonstrated in the methodology discussions of (Paper: 31) and (Paper: 36).</w:t>
      </w:r>
    </w:p>
    <w:p w:rsidR="00A77427" w:rsidRDefault="007F1D13">
      <w:pPr>
        <w:ind/>
      </w:pPr>
      <w:r>
        <w:rPr>
          <w:color w:val="000000"/>
          <w:rFonts w:ascii="Arial" w:eastAsia="Arial" w:hAnsi="Arial" w:cs="Arial"/>
          <w:sz w:val="23"/>
          <w:szCs w:val="23"/>
        </w:rPr>
        <w:t xml:space="preserve">Include a specific recommendation for integrating </w:t>
      </w:r>
      <w:r>
        <w:rPr>
          <w:color w:val="000000"/>
          <w:b/>
          <w:bCs/>
          <w:rFonts w:ascii="Arial" w:eastAsia="Arial" w:hAnsi="Arial" w:cs="Arial"/>
          <w:sz w:val="23"/>
          <w:szCs w:val="23"/>
        </w:rPr>
        <w:t>operational safety metrics</w:t>
      </w:r>
      <w:r>
        <w:rPr>
          <w:color w:val="000000"/>
          <w:rFonts w:ascii="Arial" w:eastAsia="Arial" w:hAnsi="Arial" w:cs="Arial"/>
          <w:sz w:val="23"/>
          <w:szCs w:val="23"/>
        </w:rPr>
        <w:t xml:space="preserve"> as part of the interpretability requirement, referencing the framework proposed in (Paper: 36).</w:t>
      </w:r>
    </w:p>
    <w:p w:rsidR="00A77427" w:rsidRDefault="007F1D13">
      <w:pPr>
        <w:ind/>
      </w:pPr>
      <w:r>
        <w:rPr>
          <w:color w:val="000000"/>
          <w:rFonts w:ascii="Arial" w:eastAsia="Arial" w:hAnsi="Arial" w:cs="Arial"/>
          <w:sz w:val="23"/>
          <w:szCs w:val="23"/>
        </w:rPr>
        <w:t xml:space="preserve">The critique of benchmarking in (Block: 298) is too generic, failing to leverage established </w:t>
      </w:r>
      <w:r>
        <w:rPr>
          <w:color w:val="000000"/>
          <w:b/>
          <w:bCs/>
          <w:rFonts w:ascii="Arial" w:eastAsia="Arial" w:hAnsi="Arial" w:cs="Arial"/>
          <w:sz w:val="23"/>
          <w:szCs w:val="23"/>
        </w:rPr>
        <w:t>standardized evaluation benchmarks</w:t>
      </w:r>
      <w:r>
        <w:rPr>
          <w:color w:val="000000"/>
          <w:rFonts w:ascii="Arial" w:eastAsia="Arial" w:hAnsi="Arial" w:cs="Arial"/>
          <w:sz w:val="23"/>
          <w:szCs w:val="23"/>
        </w:rPr>
        <w:t xml:space="preserve"> that the field currently requires for model comparison.</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Directly cite the benchmarking protocols and standardized comparison pipelines provided in (Paper: 27) when discussing the urgent need for </w:t>
      </w:r>
      <w:r>
        <w:rPr>
          <w:color w:val="000000"/>
          <w:b/>
          <w:bCs/>
          <w:rFonts w:ascii="Arial" w:eastAsia="Arial" w:hAnsi="Arial" w:cs="Arial"/>
          <w:sz w:val="23"/>
          <w:szCs w:val="23"/>
        </w:rPr>
        <w:t>shared evaluation platforms</w:t>
      </w:r>
      <w:r>
        <w:rPr>
          <w:color w:val="000000"/>
          <w:rFonts w:ascii="Arial" w:eastAsia="Arial" w:hAnsi="Arial" w:cs="Arial"/>
          <w:sz w:val="23"/>
          <w:szCs w:val="23"/>
        </w:rPr>
        <w:t xml:space="preserve"> in (Block: 298).</w:t>
      </w:r>
    </w:p>
    <w:p w:rsidR="00A77427" w:rsidRDefault="007F1D13">
      <w:pPr>
        <w:ind/>
      </w:pPr>
      <w:r>
        <w:rPr>
          <w:color w:val="000000"/>
          <w:rFonts w:ascii="Arial" w:eastAsia="Arial" w:hAnsi="Arial" w:cs="Arial"/>
          <w:sz w:val="23"/>
          <w:szCs w:val="23"/>
        </w:rPr>
        <w:t xml:space="preserve">Advocate for the adoption of </w:t>
      </w:r>
      <w:r>
        <w:rPr>
          <w:color w:val="000000"/>
          <w:b/>
          <w:bCs/>
          <w:rFonts w:ascii="Arial" w:eastAsia="Arial" w:hAnsi="Arial" w:cs="Arial"/>
          <w:sz w:val="23"/>
          <w:szCs w:val="23"/>
        </w:rPr>
        <w:t>shared evaluation metrics and public code repositories</w:t>
      </w:r>
      <w:r>
        <w:rPr>
          <w:color w:val="000000"/>
          <w:rFonts w:ascii="Arial" w:eastAsia="Arial" w:hAnsi="Arial" w:cs="Arial"/>
          <w:sz w:val="23"/>
          <w:szCs w:val="23"/>
        </w:rPr>
        <w:t xml:space="preserve"> specifically to address the lack of reproducibility mentioned in the comparative analysis of (Paper: 27).</w:t>
      </w:r>
    </w:p>
    <w:p w:rsidR="00A77427" w:rsidRDefault="007F1D13">
      <w:pPr>
        <w:ind/>
      </w:pPr>
      <w:r>
        <w:rPr>
          <w:color w:val="000000"/>
          <w:rFonts w:ascii="Arial" w:eastAsia="Arial" w:hAnsi="Arial" w:cs="Arial"/>
          <w:sz w:val="23"/>
          <w:szCs w:val="23"/>
        </w:rPr>
        <w:t xml:space="preserve">The analysis of generative models in (Block: 215) is incomplete because it fails to connect </w:t>
      </w:r>
      <w:r>
        <w:rPr>
          <w:color w:val="000000"/>
          <w:b/>
          <w:bCs/>
          <w:rFonts w:ascii="Arial" w:eastAsia="Arial" w:hAnsi="Arial" w:cs="Arial"/>
          <w:sz w:val="23"/>
          <w:szCs w:val="23"/>
        </w:rPr>
        <w:t>Generative Adversarial Networks (GANs)</w:t>
      </w:r>
      <w:r>
        <w:rPr>
          <w:color w:val="000000"/>
          <w:rFonts w:ascii="Arial" w:eastAsia="Arial" w:hAnsi="Arial" w:cs="Arial"/>
          <w:sz w:val="23"/>
          <w:szCs w:val="23"/>
        </w:rPr>
        <w:t xml:space="preserve"> to the development of synthetic data for anomaly detection.</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Expand (Block: 215) to discuss how GANs are utilized for </w:t>
      </w:r>
      <w:r>
        <w:rPr>
          <w:color w:val="000000"/>
          <w:b/>
          <w:bCs/>
          <w:rFonts w:ascii="Arial" w:eastAsia="Arial" w:hAnsi="Arial" w:cs="Arial"/>
          <w:sz w:val="23"/>
          <w:szCs w:val="23"/>
        </w:rPr>
        <w:t>data augmentation and the generation of hard-to-capture anomalous traffic scenarios</w:t>
      </w:r>
      <w:r>
        <w:rPr>
          <w:color w:val="000000"/>
          <w:rFonts w:ascii="Arial" w:eastAsia="Arial" w:hAnsi="Arial" w:cs="Arial"/>
          <w:sz w:val="23"/>
          <w:szCs w:val="23"/>
        </w:rPr>
        <w:t>, referencing the survey on GAN applications in ITS provided in (Paper: 8).</w:t>
      </w:r>
    </w:p>
    <w:p w:rsidR="00A77427" w:rsidRDefault="007F1D13">
      <w:pPr>
        <w:ind/>
      </w:pPr>
      <w:r>
        <w:rPr>
          <w:color w:val="000000"/>
          <w:rFonts w:ascii="Arial" w:eastAsia="Arial" w:hAnsi="Arial" w:cs="Arial"/>
          <w:sz w:val="23"/>
          <w:szCs w:val="23"/>
        </w:rPr>
        <w:t xml:space="preserve">Explain in (Block: 215) that GAN-based methods allow researchers to overcome the </w:t>
      </w:r>
      <w:r>
        <w:rPr>
          <w:color w:val="000000"/>
          <w:b/>
          <w:bCs/>
          <w:rFonts w:ascii="Arial" w:eastAsia="Arial" w:hAnsi="Arial" w:cs="Arial"/>
          <w:sz w:val="23"/>
          <w:szCs w:val="23"/>
        </w:rPr>
        <w:t>data imbalance problem</w:t>
      </w:r>
      <w:r>
        <w:rPr>
          <w:color w:val="000000"/>
          <w:rFonts w:ascii="Arial" w:eastAsia="Arial" w:hAnsi="Arial" w:cs="Arial"/>
          <w:sz w:val="23"/>
          <w:szCs w:val="23"/>
        </w:rPr>
        <w:t xml:space="preserve"> by simulating rare, severe anomalous events, as analyzed in (Paper: 23).</w:t>
      </w:r>
    </w:p>
    <w:p w:rsidR="00A77427" w:rsidRDefault="007F1D13">
      <w:pPr>
        <w:ind/>
      </w:pPr>
      <w:r>
        <w:rPr>
          <w:color w:val="000000"/>
          <w:b/>
          <w:bCs/>
          <w:rFonts w:ascii="Arial" w:eastAsia="Arial" w:hAnsi="Arial" w:cs="Arial"/>
          <w:sz w:val="28"/>
          <w:szCs w:val="28"/>
        </w:rPr>
        <w:t>🔬 Reviewer 2 (Rigor)</w:t>
      </w:r>
    </w:p>
    <w:p w:rsidR="00A77427" w:rsidRDefault="007F1D13">
      <w:pPr>
        <w:ind/>
      </w:pPr>
      <w:r>
        <w:rPr>
          <w:color w:val="000000"/>
          <w:b/>
          <w:bCs/>
          <w:rFonts w:ascii="Arial" w:eastAsia="Arial" w:hAnsi="Arial" w:cs="Arial"/>
          <w:sz w:val="25"/>
          <w:szCs w:val="25"/>
        </w:rPr>
        <w:t>Strengths</w:t>
      </w:r>
    </w:p>
    <w:p w:rsidR="00A77427" w:rsidRDefault="007F1D13">
      <w:pPr>
        <w:ind/>
      </w:pPr>
      <w:r>
        <w:rPr>
          <w:color w:val="000000"/>
          <w:rFonts w:ascii="Arial" w:eastAsia="Arial" w:hAnsi="Arial" w:cs="Arial"/>
          <w:sz w:val="23"/>
          <w:szCs w:val="23"/>
        </w:rPr>
        <w:t xml:space="preserve">The methodology adheres to the </w:t>
      </w:r>
      <w:r>
        <w:rPr>
          <w:color w:val="000000"/>
          <w:b/>
          <w:bCs/>
          <w:rFonts w:ascii="Arial" w:eastAsia="Arial" w:hAnsi="Arial" w:cs="Arial"/>
          <w:sz w:val="23"/>
          <w:szCs w:val="23"/>
        </w:rPr>
        <w:t>Kitchenham and Charters protocol</w:t>
      </w:r>
      <w:r>
        <w:rPr>
          <w:color w:val="000000"/>
          <w:rFonts w:ascii="Arial" w:eastAsia="Arial" w:hAnsi="Arial" w:cs="Arial"/>
          <w:sz w:val="23"/>
          <w:szCs w:val="23"/>
        </w:rPr>
        <w:t xml:space="preserve"> ((Block: 40)), which provides a </w:t>
      </w:r>
      <w:r>
        <w:rPr>
          <w:color w:val="000000"/>
          <w:b/>
          <w:bCs/>
          <w:rFonts w:ascii="Arial" w:eastAsia="Arial" w:hAnsi="Arial" w:cs="Arial"/>
          <w:sz w:val="23"/>
          <w:szCs w:val="23"/>
        </w:rPr>
        <w:t>systematic and reproducible framework</w:t>
      </w:r>
      <w:r>
        <w:rPr>
          <w:color w:val="000000"/>
          <w:rFonts w:ascii="Arial" w:eastAsia="Arial" w:hAnsi="Arial" w:cs="Arial"/>
          <w:sz w:val="23"/>
          <w:szCs w:val="23"/>
        </w:rPr>
        <w:t xml:space="preserve"> essential for ensuring </w:t>
      </w:r>
      <w:r>
        <w:rPr>
          <w:color w:val="000000"/>
          <w:b/>
          <w:bCs/>
          <w:rFonts w:ascii="Arial" w:eastAsia="Arial" w:hAnsi="Arial" w:cs="Arial"/>
          <w:sz w:val="23"/>
          <w:szCs w:val="23"/>
        </w:rPr>
        <w:t>methodological transparency</w:t>
      </w:r>
      <w:r>
        <w:rPr>
          <w:color w:val="000000"/>
          <w:rFonts w:ascii="Arial" w:eastAsia="Arial" w:hAnsi="Arial" w:cs="Arial"/>
          <w:sz w:val="23"/>
          <w:szCs w:val="23"/>
        </w:rPr>
        <w:t xml:space="preserve"> in secondary research, as supported by best practices in (Paper: 1) and (Paper: 13).</w:t>
      </w:r>
    </w:p>
    <w:p w:rsidR="00A77427" w:rsidRDefault="007F1D13">
      <w:pPr>
        <w:ind/>
      </w:pPr>
      <w:r>
        <w:rPr>
          <w:color w:val="000000"/>
          <w:rFonts w:ascii="Arial" w:eastAsia="Arial" w:hAnsi="Arial" w:cs="Arial"/>
          <w:sz w:val="23"/>
          <w:szCs w:val="23"/>
        </w:rPr>
        <w:t xml:space="preserve">The establishment of an </w:t>
      </w:r>
      <w:r>
        <w:rPr>
          <w:color w:val="000000"/>
          <w:b/>
          <w:bCs/>
          <w:rFonts w:ascii="Arial" w:eastAsia="Arial" w:hAnsi="Arial" w:cs="Arial"/>
          <w:sz w:val="23"/>
          <w:szCs w:val="23"/>
        </w:rPr>
        <w:t>explicit quality assessment instrument (CQI)</w:t>
      </w:r>
      <w:r>
        <w:rPr>
          <w:color w:val="000000"/>
          <w:rFonts w:ascii="Arial" w:eastAsia="Arial" w:hAnsi="Arial" w:cs="Arial"/>
          <w:sz w:val="23"/>
          <w:szCs w:val="23"/>
        </w:rPr>
        <w:t xml:space="preserve"> in (Block: 113) enforces a </w:t>
      </w:r>
      <w:r>
        <w:rPr>
          <w:color w:val="000000"/>
          <w:b/>
          <w:bCs/>
          <w:rFonts w:ascii="Arial" w:eastAsia="Arial" w:hAnsi="Arial" w:cs="Arial"/>
          <w:sz w:val="23"/>
          <w:szCs w:val="23"/>
        </w:rPr>
        <w:t>standardized rigor threshold</w:t>
      </w:r>
      <w:r>
        <w:rPr>
          <w:color w:val="000000"/>
          <w:rFonts w:ascii="Arial" w:eastAsia="Arial" w:hAnsi="Arial" w:cs="Arial"/>
          <w:sz w:val="23"/>
          <w:szCs w:val="23"/>
        </w:rPr>
        <w:t>, facilitating a consistent filtering process for primary studies that aligns with the evaluative principles discussed in (Paper: 27).</w:t>
      </w:r>
    </w:p>
    <w:p w:rsidR="00A77427" w:rsidRDefault="007F1D13">
      <w:pPr>
        <w:ind/>
      </w:pPr>
      <w:r>
        <w:rPr>
          <w:color w:val="000000"/>
          <w:b/>
          <w:bCs/>
          <w:rFonts w:ascii="Arial" w:eastAsia="Arial" w:hAnsi="Arial" w:cs="Arial"/>
          <w:sz w:val="25"/>
          <w:szCs w:val="25"/>
        </w:rPr>
        <w:t>Weaknesses</w:t>
      </w:r>
    </w:p>
    <w:p w:rsidR="00A77427" w:rsidRDefault="007F1D13">
      <w:pPr>
        <w:ind/>
      </w:pPr>
      <w:r>
        <w:rPr>
          <w:color w:val="000000"/>
          <w:rFonts w:ascii="Arial" w:eastAsia="Arial" w:hAnsi="Arial" w:cs="Arial"/>
          <w:sz w:val="23"/>
          <w:szCs w:val="23"/>
        </w:rPr>
        <w:t xml:space="preserve">In (Block: 112), the authors report resolving selection discrepancies via </w:t>
      </w:r>
      <w:r>
        <w:rPr>
          <w:color w:val="000000"/>
          <w:b/>
          <w:bCs/>
          <w:rFonts w:ascii="Arial" w:eastAsia="Arial" w:hAnsi="Arial" w:cs="Arial"/>
          <w:sz w:val="23"/>
          <w:szCs w:val="23"/>
        </w:rPr>
        <w:t>consensus</w:t>
      </w:r>
      <w:r>
        <w:rPr>
          <w:color w:val="000000"/>
          <w:rFonts w:ascii="Arial" w:eastAsia="Arial" w:hAnsi="Arial" w:cs="Arial"/>
          <w:sz w:val="23"/>
          <w:szCs w:val="23"/>
        </w:rPr>
        <w:t xml:space="preserve"> without providing a quantitative </w:t>
      </w:r>
      <w:r>
        <w:rPr>
          <w:color w:val="000000"/>
          <w:b/>
          <w:bCs/>
          <w:rFonts w:ascii="Arial" w:eastAsia="Arial" w:hAnsi="Arial" w:cs="Arial"/>
          <w:sz w:val="23"/>
          <w:szCs w:val="23"/>
        </w:rPr>
        <w:t>inter-rater reliability (IRR)</w:t>
      </w:r>
      <w:r>
        <w:rPr>
          <w:color w:val="000000"/>
          <w:rFonts w:ascii="Arial" w:eastAsia="Arial" w:hAnsi="Arial" w:cs="Arial"/>
          <w:sz w:val="23"/>
          <w:szCs w:val="23"/>
        </w:rPr>
        <w:t xml:space="preserve"> statistic, which is essential to demonstrate the absence of subjective bias during the study selection process.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Calculate and report </w:t>
      </w:r>
      <w:r>
        <w:rPr>
          <w:color w:val="000000"/>
          <w:b/>
          <w:bCs/>
          <w:rFonts w:ascii="Arial" w:eastAsia="Arial" w:hAnsi="Arial" w:cs="Arial"/>
          <w:sz w:val="23"/>
          <w:szCs w:val="23"/>
        </w:rPr>
        <w:t>Cohen’s Kappa</w:t>
      </w:r>
      <w:r>
        <w:rPr>
          <w:color w:val="000000"/>
          <w:rFonts w:ascii="Arial" w:eastAsia="Arial" w:hAnsi="Arial" w:cs="Arial"/>
          <w:sz w:val="23"/>
          <w:szCs w:val="23"/>
        </w:rPr>
        <w:t xml:space="preserve"> or </w:t>
      </w:r>
      <w:r>
        <w:rPr>
          <w:color w:val="000000"/>
          <w:b/>
          <w:bCs/>
          <w:rFonts w:ascii="Arial" w:eastAsia="Arial" w:hAnsi="Arial" w:cs="Arial"/>
          <w:sz w:val="23"/>
          <w:szCs w:val="23"/>
        </w:rPr>
        <w:t>Fleiss’ Kappa</w:t>
      </w:r>
      <w:r>
        <w:rPr>
          <w:color w:val="000000"/>
          <w:rFonts w:ascii="Arial" w:eastAsia="Arial" w:hAnsi="Arial" w:cs="Arial"/>
          <w:sz w:val="23"/>
          <w:szCs w:val="23"/>
        </w:rPr>
        <w:t xml:space="preserve"> to provide a numerical measure of inter-reviewer agreement.</w:t>
      </w:r>
    </w:p>
    <w:p w:rsidR="00A77427" w:rsidRDefault="007F1D13">
      <w:pPr>
        <w:ind/>
      </w:pPr>
      <w:r>
        <w:rPr>
          <w:color w:val="000000"/>
          <w:rFonts w:ascii="Arial" w:eastAsia="Arial" w:hAnsi="Arial" w:cs="Arial"/>
          <w:sz w:val="23"/>
          <w:szCs w:val="23"/>
        </w:rPr>
        <w:t xml:space="preserve">Include a supplementary table documenting the </w:t>
      </w:r>
      <w:r>
        <w:rPr>
          <w:color w:val="000000"/>
          <w:b/>
          <w:bCs/>
          <w:rFonts w:ascii="Arial" w:eastAsia="Arial" w:hAnsi="Arial" w:cs="Arial"/>
          <w:sz w:val="23"/>
          <w:szCs w:val="23"/>
        </w:rPr>
        <w:t>specific count of agreements and disagreements</w:t>
      </w:r>
      <w:r>
        <w:rPr>
          <w:color w:val="000000"/>
          <w:rFonts w:ascii="Arial" w:eastAsia="Arial" w:hAnsi="Arial" w:cs="Arial"/>
          <w:sz w:val="23"/>
          <w:szCs w:val="23"/>
        </w:rPr>
        <w:t xml:space="preserve"> per phase to satisfy the reproducibility standards required in meta-analytic reviews as referenced in (Paper: 27).</w:t>
      </w:r>
    </w:p>
    <w:p w:rsidR="00A77427" w:rsidRDefault="007F1D13">
      <w:pPr>
        <w:ind/>
      </w:pPr>
      <w:r>
        <w:rPr>
          <w:color w:val="000000"/>
          <w:rFonts w:ascii="Arial" w:eastAsia="Arial" w:hAnsi="Arial" w:cs="Arial"/>
          <w:sz w:val="23"/>
          <w:szCs w:val="23"/>
        </w:rPr>
        <w:t xml:space="preserve">The search strategy in (Block: 55) omits critical technical keywords for emerging deep learning architectures, such as </w:t>
      </w:r>
      <w:r>
        <w:rPr>
          <w:color w:val="000000"/>
          <w:b/>
          <w:bCs/>
          <w:rFonts w:ascii="Arial" w:eastAsia="Arial" w:hAnsi="Arial" w:cs="Arial"/>
          <w:sz w:val="23"/>
          <w:szCs w:val="23"/>
        </w:rPr>
        <w:t>‘federated learning’</w:t>
      </w:r>
      <w:r>
        <w:rPr>
          <w:color w:val="000000"/>
          <w:rFonts w:ascii="Arial" w:eastAsia="Arial" w:hAnsi="Arial" w:cs="Arial"/>
          <w:sz w:val="23"/>
          <w:szCs w:val="23"/>
        </w:rPr>
        <w:t xml:space="preserve"> and </w:t>
      </w:r>
      <w:r>
        <w:rPr>
          <w:color w:val="000000"/>
          <w:b/>
          <w:bCs/>
          <w:rFonts w:ascii="Arial" w:eastAsia="Arial" w:hAnsi="Arial" w:cs="Arial"/>
          <w:sz w:val="23"/>
          <w:szCs w:val="23"/>
        </w:rPr>
        <w:t>‘domain-adaptive pre-training’</w:t>
      </w:r>
      <w:r>
        <w:rPr>
          <w:color w:val="000000"/>
          <w:rFonts w:ascii="Arial" w:eastAsia="Arial" w:hAnsi="Arial" w:cs="Arial"/>
          <w:sz w:val="23"/>
          <w:szCs w:val="23"/>
        </w:rPr>
        <w:t>, potentially limiting the scope of the review regarding state-of-the-art methodology, consistent with findings in (Paper: 12).</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Update the search query in (Block: 55) to include terms like </w:t>
      </w:r>
      <w:r>
        <w:rPr>
          <w:color w:val="000000"/>
          <w:b/>
          <w:bCs/>
          <w:rFonts w:ascii="Arial" w:eastAsia="Arial" w:hAnsi="Arial" w:cs="Arial"/>
          <w:sz w:val="23"/>
          <w:szCs w:val="23"/>
        </w:rPr>
        <w:t>‘federated learning’</w:t>
      </w:r>
      <w:r>
        <w:rPr>
          <w:color w:val="000000"/>
          <w:rFonts w:ascii="Arial" w:eastAsia="Arial" w:hAnsi="Arial" w:cs="Arial"/>
          <w:sz w:val="23"/>
          <w:szCs w:val="23"/>
        </w:rPr>
        <w:t xml:space="preserve">, </w:t>
      </w:r>
      <w:r>
        <w:rPr>
          <w:color w:val="000000"/>
          <w:b/>
          <w:bCs/>
          <w:rFonts w:ascii="Arial" w:eastAsia="Arial" w:hAnsi="Arial" w:cs="Arial"/>
          <w:sz w:val="23"/>
          <w:szCs w:val="23"/>
        </w:rPr>
        <w:t>‘attention mechanisms’</w:t>
      </w:r>
      <w:r>
        <w:rPr>
          <w:color w:val="000000"/>
          <w:rFonts w:ascii="Arial" w:eastAsia="Arial" w:hAnsi="Arial" w:cs="Arial"/>
          <w:sz w:val="23"/>
          <w:szCs w:val="23"/>
        </w:rPr>
        <w:t xml:space="preserve">, and </w:t>
      </w:r>
      <w:r>
        <w:rPr>
          <w:color w:val="000000"/>
          <w:b/>
          <w:bCs/>
          <w:rFonts w:ascii="Arial" w:eastAsia="Arial" w:hAnsi="Arial" w:cs="Arial"/>
          <w:sz w:val="23"/>
          <w:szCs w:val="23"/>
        </w:rPr>
        <w:t>‘domain-adaptive pre-training’</w:t>
      </w:r>
      <w:r>
        <w:rPr>
          <w:color w:val="000000"/>
          <w:rFonts w:ascii="Arial" w:eastAsia="Arial" w:hAnsi="Arial" w:cs="Arial"/>
          <w:sz w:val="23"/>
          <w:szCs w:val="23"/>
        </w:rPr>
        <w:t>.</w:t>
      </w:r>
    </w:p>
    <w:p w:rsidR="00A77427" w:rsidRDefault="007F1D13">
      <w:pPr>
        <w:ind/>
      </w:pPr>
      <w:r>
        <w:rPr>
          <w:color w:val="000000"/>
          <w:rFonts w:ascii="Arial" w:eastAsia="Arial" w:hAnsi="Arial" w:cs="Arial"/>
          <w:sz w:val="23"/>
          <w:szCs w:val="23"/>
        </w:rPr>
        <w:t xml:space="preserve">Provide an explicit rationale in the appendix for the </w:t>
      </w:r>
      <w:r>
        <w:rPr>
          <w:color w:val="000000"/>
          <w:b/>
          <w:bCs/>
          <w:rFonts w:ascii="Arial" w:eastAsia="Arial" w:hAnsi="Arial" w:cs="Arial"/>
          <w:sz w:val="23"/>
          <w:szCs w:val="23"/>
        </w:rPr>
        <w:t>exclusion of specific sub-architectures</w:t>
      </w:r>
      <w:r>
        <w:rPr>
          <w:color w:val="000000"/>
          <w:rFonts w:ascii="Arial" w:eastAsia="Arial" w:hAnsi="Arial" w:cs="Arial"/>
          <w:sz w:val="23"/>
          <w:szCs w:val="23"/>
        </w:rPr>
        <w:t xml:space="preserve"> (e.g., semi-supervised generative models) to ensure complete methodological transparency.</w:t>
      </w:r>
    </w:p>
    <w:p w:rsidR="00A77427" w:rsidRDefault="007F1D13">
      <w:pPr>
        <w:ind/>
      </w:pPr>
      <w:r>
        <w:rPr>
          <w:color w:val="000000"/>
          <w:rFonts w:ascii="Arial" w:eastAsia="Arial" w:hAnsi="Arial" w:cs="Arial"/>
          <w:sz w:val="23"/>
          <w:szCs w:val="23"/>
        </w:rPr>
        <w:t xml:space="preserve">The review fails to conduct a </w:t>
      </w:r>
      <w:r>
        <w:rPr>
          <w:color w:val="000000"/>
          <w:b/>
          <w:bCs/>
          <w:rFonts w:ascii="Arial" w:eastAsia="Arial" w:hAnsi="Arial" w:cs="Arial"/>
          <w:sz w:val="23"/>
          <w:szCs w:val="23"/>
        </w:rPr>
        <w:t>critical appraisal of data transparency</w:t>
      </w:r>
      <w:r>
        <w:rPr>
          <w:color w:val="000000"/>
          <w:rFonts w:ascii="Arial" w:eastAsia="Arial" w:hAnsi="Arial" w:cs="Arial"/>
          <w:sz w:val="23"/>
          <w:szCs w:val="23"/>
        </w:rPr>
        <w:t xml:space="preserve"> across the 25 primary studies, hindering an assessment of whether these models are truly reproducible in real-world intelligent transportation environments as advocated by (Paper: 20) and (Paper: 31).</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Insert an additional column in the summary table (Block: 374) labeled </w:t>
      </w:r>
      <w:r>
        <w:rPr>
          <w:color w:val="000000"/>
          <w:b/>
          <w:bCs/>
          <w:rFonts w:ascii="Arial" w:eastAsia="Arial" w:hAnsi="Arial" w:cs="Arial"/>
          <w:sz w:val="23"/>
          <w:szCs w:val="23"/>
        </w:rPr>
        <w:t>‘Publicly Available Code/Data’</w:t>
      </w:r>
      <w:r>
        <w:rPr>
          <w:color w:val="000000"/>
          <w:rFonts w:ascii="Arial" w:eastAsia="Arial" w:hAnsi="Arial" w:cs="Arial"/>
          <w:sz w:val="23"/>
          <w:szCs w:val="23"/>
        </w:rPr>
        <w:t xml:space="preserve"> with binary indicators (Yes/No) and direct links.</w:t>
      </w:r>
    </w:p>
    <w:p w:rsidR="00A77427" w:rsidRDefault="007F1D13">
      <w:pPr>
        <w:ind/>
      </w:pPr>
      <w:r>
        <w:rPr>
          <w:color w:val="000000"/>
          <w:rFonts w:ascii="Arial" w:eastAsia="Arial" w:hAnsi="Arial" w:cs="Arial"/>
          <w:sz w:val="23"/>
          <w:szCs w:val="23"/>
        </w:rPr>
        <w:t xml:space="preserve">Apply the </w:t>
      </w:r>
      <w:r>
        <w:rPr>
          <w:color w:val="000000"/>
          <w:b/>
          <w:bCs/>
          <w:rFonts w:ascii="Arial" w:eastAsia="Arial" w:hAnsi="Arial" w:cs="Arial"/>
          <w:sz w:val="23"/>
          <w:szCs w:val="23"/>
        </w:rPr>
        <w:t>open science guidelines for transportation research</w:t>
      </w:r>
      <w:r>
        <w:rPr>
          <w:color w:val="000000"/>
          <w:rFonts w:ascii="Arial" w:eastAsia="Arial" w:hAnsi="Arial" w:cs="Arial"/>
          <w:sz w:val="23"/>
          <w:szCs w:val="23"/>
        </w:rPr>
        <w:t xml:space="preserve"> (ref: (Paper: 15)) to categorize primary studies based on their readiness for real-world deployment.</w:t>
      </w:r>
    </w:p>
    <w:p w:rsidR="00A77427" w:rsidRDefault="007F1D13">
      <w:pPr>
        <w:ind/>
      </w:pPr>
      <w:r>
        <w:rPr>
          <w:color w:val="000000"/>
          <w:rFonts w:ascii="Arial" w:eastAsia="Arial" w:hAnsi="Arial" w:cs="Arial"/>
          <w:sz w:val="23"/>
          <w:szCs w:val="23"/>
        </w:rPr>
        <w:t xml:space="preserve">The synthesis of heterogeneity in (Block: 132) remains descriptive, neglecting to categorize primary studies by their </w:t>
      </w:r>
      <w:r>
        <w:rPr>
          <w:color w:val="000000"/>
          <w:b/>
          <w:bCs/>
          <w:rFonts w:ascii="Arial" w:eastAsia="Arial" w:hAnsi="Arial" w:cs="Arial"/>
          <w:sz w:val="23"/>
          <w:szCs w:val="23"/>
        </w:rPr>
        <w:t>validation design</w:t>
      </w:r>
      <w:r>
        <w:rPr>
          <w:color w:val="000000"/>
          <w:rFonts w:ascii="Arial" w:eastAsia="Arial" w:hAnsi="Arial" w:cs="Arial"/>
          <w:sz w:val="23"/>
          <w:szCs w:val="23"/>
        </w:rPr>
        <w:t xml:space="preserve"> (e.g., cross-validation vs. hold-out sets), which is crucial for identifying potential </w:t>
      </w:r>
      <w:r>
        <w:rPr>
          <w:color w:val="000000"/>
          <w:b/>
          <w:bCs/>
          <w:rFonts w:ascii="Arial" w:eastAsia="Arial" w:hAnsi="Arial" w:cs="Arial"/>
          <w:sz w:val="23"/>
          <w:szCs w:val="23"/>
        </w:rPr>
        <w:t>optimism bias</w:t>
      </w:r>
      <w:r>
        <w:rPr>
          <w:color w:val="000000"/>
          <w:rFonts w:ascii="Arial" w:eastAsia="Arial" w:hAnsi="Arial" w:cs="Arial"/>
          <w:sz w:val="23"/>
          <w:szCs w:val="23"/>
        </w:rPr>
        <w:t xml:space="preserve"> or </w:t>
      </w:r>
      <w:r>
        <w:rPr>
          <w:color w:val="000000"/>
          <w:b/>
          <w:bCs/>
          <w:rFonts w:ascii="Arial" w:eastAsia="Arial" w:hAnsi="Arial" w:cs="Arial"/>
          <w:sz w:val="23"/>
          <w:szCs w:val="23"/>
        </w:rPr>
        <w:t>overfitting</w:t>
      </w:r>
      <w:r>
        <w:rPr>
          <w:color w:val="000000"/>
          <w:rFonts w:ascii="Arial" w:eastAsia="Arial" w:hAnsi="Arial" w:cs="Arial"/>
          <w:sz w:val="23"/>
          <w:szCs w:val="23"/>
        </w:rPr>
        <w:t xml:space="preserve"> in the results.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Create a </w:t>
      </w:r>
      <w:r>
        <w:rPr>
          <w:color w:val="000000"/>
          <w:b/>
          <w:bCs/>
          <w:rFonts w:ascii="Arial" w:eastAsia="Arial" w:hAnsi="Arial" w:cs="Arial"/>
          <w:sz w:val="23"/>
          <w:szCs w:val="23"/>
        </w:rPr>
        <w:t>Summary Matrix</w:t>
      </w:r>
      <w:r>
        <w:rPr>
          <w:color w:val="000000"/>
          <w:rFonts w:ascii="Arial" w:eastAsia="Arial" w:hAnsi="Arial" w:cs="Arial"/>
          <w:sz w:val="23"/>
          <w:szCs w:val="23"/>
        </w:rPr>
        <w:t xml:space="preserve"> in the synthesis section that includes columns for: 1) </w:t>
      </w:r>
      <w:r>
        <w:rPr>
          <w:color w:val="000000"/>
          <w:b/>
          <w:bCs/>
          <w:rFonts w:ascii="Arial" w:eastAsia="Arial" w:hAnsi="Arial" w:cs="Arial"/>
          <w:sz w:val="23"/>
          <w:szCs w:val="23"/>
        </w:rPr>
        <w:t>Model Architecture</w:t>
      </w:r>
      <w:r>
        <w:rPr>
          <w:color w:val="000000"/>
          <w:rFonts w:ascii="Arial" w:eastAsia="Arial" w:hAnsi="Arial" w:cs="Arial"/>
          <w:sz w:val="23"/>
          <w:szCs w:val="23"/>
        </w:rPr>
        <w:t xml:space="preserve">, 2) </w:t>
      </w:r>
      <w:r>
        <w:rPr>
          <w:color w:val="000000"/>
          <w:b/>
          <w:bCs/>
          <w:rFonts w:ascii="Arial" w:eastAsia="Arial" w:hAnsi="Arial" w:cs="Arial"/>
          <w:sz w:val="23"/>
          <w:szCs w:val="23"/>
        </w:rPr>
        <w:t>Validation Method (e.g., K-fold)</w:t>
      </w:r>
      <w:r>
        <w:rPr>
          <w:color w:val="000000"/>
          <w:rFonts w:ascii="Arial" w:eastAsia="Arial" w:hAnsi="Arial" w:cs="Arial"/>
          <w:sz w:val="23"/>
          <w:szCs w:val="23"/>
        </w:rPr>
        <w:t xml:space="preserve">, 3) </w:t>
      </w:r>
      <w:r>
        <w:rPr>
          <w:color w:val="000000"/>
          <w:b/>
          <w:bCs/>
          <w:rFonts w:ascii="Arial" w:eastAsia="Arial" w:hAnsi="Arial" w:cs="Arial"/>
          <w:sz w:val="23"/>
          <w:szCs w:val="23"/>
        </w:rPr>
        <w:t>Data Source</w:t>
      </w:r>
      <w:r>
        <w:rPr>
          <w:color w:val="000000"/>
          <w:rFonts w:ascii="Arial" w:eastAsia="Arial" w:hAnsi="Arial" w:cs="Arial"/>
          <w:sz w:val="23"/>
          <w:szCs w:val="23"/>
        </w:rPr>
        <w:t xml:space="preserve">, and 4) </w:t>
      </w:r>
      <w:r>
        <w:rPr>
          <w:color w:val="000000"/>
          <w:b/>
          <w:bCs/>
          <w:rFonts w:ascii="Arial" w:eastAsia="Arial" w:hAnsi="Arial" w:cs="Arial"/>
          <w:sz w:val="23"/>
          <w:szCs w:val="23"/>
        </w:rPr>
        <w:t>Inclusion of Standardized Reporting</w:t>
      </w:r>
      <w:r>
        <w:rPr>
          <w:color w:val="000000"/>
          <w:rFonts w:ascii="Arial" w:eastAsia="Arial" w:hAnsi="Arial" w:cs="Arial"/>
          <w:sz w:val="23"/>
          <w:szCs w:val="23"/>
        </w:rPr>
        <w:t>.</w:t>
      </w:r>
    </w:p>
    <w:p w:rsidR="00A77427" w:rsidRDefault="007F1D13">
      <w:pPr>
        <w:ind/>
      </w:pPr>
      <w:r>
        <w:rPr>
          <w:color w:val="000000"/>
          <w:rFonts w:ascii="Arial" w:eastAsia="Arial" w:hAnsi="Arial" w:cs="Arial"/>
          <w:sz w:val="23"/>
          <w:szCs w:val="23"/>
        </w:rPr>
        <w:t xml:space="preserve">Specifically flag studies that report high performance on datasets without detailing their </w:t>
      </w:r>
      <w:r>
        <w:rPr>
          <w:color w:val="000000"/>
          <w:b/>
          <w:bCs/>
          <w:rFonts w:ascii="Arial" w:eastAsia="Arial" w:hAnsi="Arial" w:cs="Arial"/>
          <w:sz w:val="23"/>
          <w:szCs w:val="23"/>
        </w:rPr>
        <w:t>data-splitting strategy</w:t>
      </w:r>
      <w:r>
        <w:rPr>
          <w:color w:val="000000"/>
          <w:rFonts w:ascii="Arial" w:eastAsia="Arial" w:hAnsi="Arial" w:cs="Arial"/>
          <w:sz w:val="23"/>
          <w:szCs w:val="23"/>
        </w:rPr>
        <w:t>, as emphasized by the empirical evaluation standards in (Paper: 6).</w:t>
      </w:r>
    </w:p>
    <w:p w:rsidR="00A77427" w:rsidRDefault="007F1D13">
      <w:pPr>
        <w:ind/>
      </w:pPr>
      <w:r>
        <w:rPr>
          <w:color w:val="000000"/>
          <w:b/>
          <w:bCs/>
          <w:rFonts w:ascii="Arial" w:eastAsia="Arial" w:hAnsi="Arial" w:cs="Arial"/>
          <w:sz w:val="28"/>
          <w:szCs w:val="28"/>
        </w:rPr>
        <w:t>🧠 Reviewer 3 (Clarity)</w:t>
      </w:r>
    </w:p>
    <w:p w:rsidR="00A77427" w:rsidRDefault="007F1D13">
      <w:pPr>
        <w:ind/>
      </w:pPr>
      <w:r>
        <w:rPr>
          <w:color w:val="000000"/>
          <w:b/>
          <w:bCs/>
          <w:rFonts w:ascii="Arial" w:eastAsia="Arial" w:hAnsi="Arial" w:cs="Arial"/>
          <w:sz w:val="25"/>
          <w:szCs w:val="25"/>
        </w:rPr>
        <w:t>Strengths</w:t>
      </w:r>
    </w:p>
    <w:p w:rsidR="00A77427" w:rsidRDefault="007F1D13">
      <w:pPr>
        <w:ind/>
      </w:pPr>
      <w:r>
        <w:rPr>
          <w:color w:val="000000"/>
          <w:rFonts w:ascii="Arial" w:eastAsia="Arial" w:hAnsi="Arial" w:cs="Arial"/>
          <w:sz w:val="23"/>
          <w:szCs w:val="23"/>
        </w:rPr>
        <w:t xml:space="preserve">The paper maintains an </w:t>
      </w:r>
      <w:r>
        <w:rPr>
          <w:color w:val="000000"/>
          <w:b/>
          <w:bCs/>
          <w:rFonts w:ascii="Arial" w:eastAsia="Arial" w:hAnsi="Arial" w:cs="Arial"/>
          <w:sz w:val="23"/>
          <w:szCs w:val="23"/>
        </w:rPr>
        <w:t>excellent logical flow</w:t>
      </w:r>
      <w:r>
        <w:rPr>
          <w:color w:val="000000"/>
          <w:rFonts w:ascii="Arial" w:eastAsia="Arial" w:hAnsi="Arial" w:cs="Arial"/>
          <w:sz w:val="23"/>
          <w:szCs w:val="23"/>
        </w:rPr>
        <w:t xml:space="preserve"> and </w:t>
      </w:r>
      <w:r>
        <w:rPr>
          <w:color w:val="000000"/>
          <w:b/>
          <w:bCs/>
          <w:rFonts w:ascii="Arial" w:eastAsia="Arial" w:hAnsi="Arial" w:cs="Arial"/>
          <w:sz w:val="23"/>
          <w:szCs w:val="23"/>
        </w:rPr>
        <w:t>structured organizational clarity</w:t>
      </w:r>
      <w:r>
        <w:rPr>
          <w:color w:val="000000"/>
          <w:rFonts w:ascii="Arial" w:eastAsia="Arial" w:hAnsi="Arial" w:cs="Arial"/>
          <w:sz w:val="23"/>
          <w:szCs w:val="23"/>
        </w:rPr>
        <w:t>, systematically following the protocol guidelines established by (Paper: 1) to ensure a coherent transition between research background and reported findings.</w:t>
      </w:r>
    </w:p>
    <w:p w:rsidR="00A77427" w:rsidRDefault="007F1D13">
      <w:pPr>
        <w:ind/>
      </w:pPr>
      <w:r>
        <w:rPr>
          <w:color w:val="000000"/>
          <w:rFonts w:ascii="Arial" w:eastAsia="Arial" w:hAnsi="Arial" w:cs="Arial"/>
          <w:sz w:val="23"/>
          <w:szCs w:val="23"/>
        </w:rPr>
        <w:t xml:space="preserve">The use of </w:t>
      </w:r>
      <w:r>
        <w:rPr>
          <w:color w:val="000000"/>
          <w:b/>
          <w:bCs/>
          <w:rFonts w:ascii="Arial" w:eastAsia="Arial" w:hAnsi="Arial" w:cs="Arial"/>
          <w:sz w:val="23"/>
          <w:szCs w:val="23"/>
        </w:rPr>
        <w:t>descriptive subheadings</w:t>
      </w:r>
      <w:r>
        <w:rPr>
          <w:color w:val="000000"/>
          <w:rFonts w:ascii="Arial" w:eastAsia="Arial" w:hAnsi="Arial" w:cs="Arial"/>
          <w:sz w:val="23"/>
          <w:szCs w:val="23"/>
        </w:rPr>
        <w:t xml:space="preserve"> within the results section in (Block: 215), (Block: 237), and (Block: 249) provides clear navigation that aligns the findings directly with the paper’s defined research questions.</w:t>
      </w:r>
    </w:p>
    <w:p w:rsidR="00A77427" w:rsidRDefault="007F1D13">
      <w:pPr>
        <w:ind/>
      </w:pPr>
      <w:r>
        <w:rPr>
          <w:color w:val="000000"/>
          <w:b/>
          <w:bCs/>
          <w:rFonts w:ascii="Arial" w:eastAsia="Arial" w:hAnsi="Arial" w:cs="Arial"/>
          <w:sz w:val="25"/>
          <w:szCs w:val="25"/>
        </w:rPr>
        <w:t>Weaknesses</w:t>
      </w:r>
    </w:p>
    <w:p w:rsidR="00A77427" w:rsidRDefault="007F1D13">
      <w:pPr>
        <w:ind/>
      </w:pPr>
      <w:r>
        <w:rPr>
          <w:color w:val="000000"/>
          <w:rFonts w:ascii="Arial" w:eastAsia="Arial" w:hAnsi="Arial" w:cs="Arial"/>
          <w:sz w:val="23"/>
          <w:szCs w:val="23"/>
        </w:rPr>
        <w:t xml:space="preserve">The scope limitation regarding the </w:t>
      </w:r>
      <w:r>
        <w:rPr>
          <w:color w:val="000000"/>
          <w:b/>
          <w:bCs/>
          <w:rFonts w:ascii="Arial" w:eastAsia="Arial" w:hAnsi="Arial" w:cs="Arial"/>
          <w:sz w:val="23"/>
          <w:szCs w:val="23"/>
        </w:rPr>
        <w:t>PeMS-D4 dataset</w:t>
      </w:r>
      <w:r>
        <w:rPr>
          <w:color w:val="000000"/>
          <w:rFonts w:ascii="Arial" w:eastAsia="Arial" w:hAnsi="Arial" w:cs="Arial"/>
          <w:sz w:val="23"/>
          <w:szCs w:val="23"/>
        </w:rPr>
        <w:t xml:space="preserve"> is relegated to a footnote in (Block: 18), creating a </w:t>
      </w:r>
      <w:r>
        <w:rPr>
          <w:color w:val="000000"/>
          <w:b/>
          <w:bCs/>
          <w:rFonts w:ascii="Arial" w:eastAsia="Arial" w:hAnsi="Arial" w:cs="Arial"/>
          <w:sz w:val="23"/>
          <w:szCs w:val="23"/>
        </w:rPr>
        <w:t>logical disconnect</w:t>
      </w:r>
      <w:r>
        <w:rPr>
          <w:color w:val="000000"/>
          <w:rFonts w:ascii="Arial" w:eastAsia="Arial" w:hAnsi="Arial" w:cs="Arial"/>
          <w:sz w:val="23"/>
          <w:szCs w:val="23"/>
        </w:rPr>
        <w:t xml:space="preserve"> between the paper’s broad title and its specific empirical focus.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Incorporate the footnote content directly into the paragraph text of (Block: 18).</w:t>
      </w:r>
    </w:p>
    <w:p w:rsidR="00A77427" w:rsidRDefault="007F1D13">
      <w:pPr>
        <w:ind/>
      </w:pPr>
      <w:r>
        <w:rPr>
          <w:color w:val="000000"/>
          <w:rFonts w:ascii="Arial" w:eastAsia="Arial" w:hAnsi="Arial" w:cs="Arial"/>
          <w:sz w:val="23"/>
          <w:szCs w:val="23"/>
        </w:rPr>
        <w:t>Add the following sentence to the end of (Block: 18): ‘While this review covers traffic anomaly detection broadly, the empirical analysis focuses specifically on the PeMS-D4 dataset as per the evaluative criteria defined in (Paper: 2).’</w:t>
      </w:r>
    </w:p>
    <w:p w:rsidR="00A77427" w:rsidRDefault="007F1D13">
      <w:pPr>
        <w:ind/>
      </w:pPr>
      <w:r>
        <w:rPr>
          <w:color w:val="000000"/>
          <w:rFonts w:ascii="Arial" w:eastAsia="Arial" w:hAnsi="Arial" w:cs="Arial"/>
          <w:sz w:val="23"/>
          <w:szCs w:val="23"/>
        </w:rPr>
        <w:t xml:space="preserve">The presentation of the </w:t>
      </w:r>
      <w:r>
        <w:rPr>
          <w:color w:val="000000"/>
          <w:b/>
          <w:bCs/>
          <w:rFonts w:ascii="Arial" w:eastAsia="Arial" w:hAnsi="Arial" w:cs="Arial"/>
          <w:sz w:val="23"/>
          <w:szCs w:val="23"/>
        </w:rPr>
        <w:t>study selection process</w:t>
      </w:r>
      <w:r>
        <w:rPr>
          <w:color w:val="000000"/>
          <w:rFonts w:ascii="Arial" w:eastAsia="Arial" w:hAnsi="Arial" w:cs="Arial"/>
          <w:sz w:val="23"/>
          <w:szCs w:val="23"/>
        </w:rPr>
        <w:t xml:space="preserve"> is confusing because (Block: 108) refers to a ‘Figure 2’ which is absent, while (Block: 78) through (Block: 89) act as disjointed visual placeholders, hindering the </w:t>
      </w:r>
      <w:r>
        <w:rPr>
          <w:color w:val="000000"/>
          <w:b/>
          <w:bCs/>
          <w:rFonts w:ascii="Arial" w:eastAsia="Arial" w:hAnsi="Arial" w:cs="Arial"/>
          <w:sz w:val="23"/>
          <w:szCs w:val="23"/>
        </w:rPr>
        <w:t>logical progression</w:t>
      </w:r>
      <w:r>
        <w:rPr>
          <w:color w:val="000000"/>
          <w:rFonts w:ascii="Arial" w:eastAsia="Arial" w:hAnsi="Arial" w:cs="Arial"/>
          <w:sz w:val="23"/>
          <w:szCs w:val="23"/>
        </w:rPr>
        <w:t xml:space="preserve"> described in (Block: 109).</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Replace the fragmented visual placeholders in (Block: 78) through (Block: 89) with a consolidated, cohesive figure demonstrating the PRISMA-style flow of the systematic review.</w:t>
      </w:r>
    </w:p>
    <w:p w:rsidR="00A77427" w:rsidRDefault="007F1D13">
      <w:pPr>
        <w:ind/>
      </w:pPr>
      <w:r>
        <w:rPr>
          <w:color w:val="000000"/>
          <w:rFonts w:ascii="Arial" w:eastAsia="Arial" w:hAnsi="Arial" w:cs="Arial"/>
          <w:sz w:val="23"/>
          <w:szCs w:val="23"/>
        </w:rPr>
        <w:t xml:space="preserve">Ensure the narrative in (Block: 109) explicitly guides the reader through the stages of selection to improve </w:t>
      </w:r>
      <w:r>
        <w:rPr>
          <w:color w:val="000000"/>
          <w:b/>
          <w:bCs/>
          <w:rFonts w:ascii="Arial" w:eastAsia="Arial" w:hAnsi="Arial" w:cs="Arial"/>
          <w:sz w:val="23"/>
          <w:szCs w:val="23"/>
        </w:rPr>
        <w:t>evidence-conclusion alignment</w:t>
      </w:r>
      <w:r>
        <w:rPr>
          <w:color w:val="000000"/>
          <w:rFonts w:ascii="Arial" w:eastAsia="Arial" w:hAnsi="Arial" w:cs="Arial"/>
          <w:sz w:val="23"/>
          <w:szCs w:val="23"/>
        </w:rPr>
        <w:t>.</w:t>
      </w:r>
    </w:p>
    <w:p w:rsidR="00A77427" w:rsidRDefault="007F1D13">
      <w:pPr>
        <w:ind/>
      </w:pPr>
      <w:r>
        <w:rPr>
          <w:color w:val="000000"/>
          <w:rFonts w:ascii="Arial" w:eastAsia="Arial" w:hAnsi="Arial" w:cs="Arial"/>
          <w:sz w:val="23"/>
          <w:szCs w:val="23"/>
        </w:rPr>
        <w:t xml:space="preserve">The explanation in (Block: 112) regarding the </w:t>
      </w:r>
      <w:r>
        <w:rPr>
          <w:color w:val="000000"/>
          <w:b/>
          <w:bCs/>
          <w:rFonts w:ascii="Arial" w:eastAsia="Arial" w:hAnsi="Arial" w:cs="Arial"/>
          <w:sz w:val="23"/>
          <w:szCs w:val="23"/>
        </w:rPr>
        <w:t>quality assessment instrument</w:t>
      </w:r>
      <w:r>
        <w:rPr>
          <w:color w:val="000000"/>
          <w:rFonts w:ascii="Arial" w:eastAsia="Arial" w:hAnsi="Arial" w:cs="Arial"/>
          <w:sz w:val="23"/>
          <w:szCs w:val="23"/>
        </w:rPr>
        <w:t xml:space="preserve"> mentions a ‘narrowness of range’ but fails to articulate the </w:t>
      </w:r>
      <w:r>
        <w:rPr>
          <w:color w:val="000000"/>
          <w:b/>
          <w:bCs/>
          <w:rFonts w:ascii="Arial" w:eastAsia="Arial" w:hAnsi="Arial" w:cs="Arial"/>
          <w:sz w:val="23"/>
          <w:szCs w:val="23"/>
        </w:rPr>
        <w:t>logical impact</w:t>
      </w:r>
      <w:r>
        <w:rPr>
          <w:color w:val="000000"/>
          <w:rFonts w:ascii="Arial" w:eastAsia="Arial" w:hAnsi="Arial" w:cs="Arial"/>
          <w:sz w:val="23"/>
          <w:szCs w:val="23"/>
        </w:rPr>
        <w:t xml:space="preserve"> of this limitation on the robustness of the study’s conclusions.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Insert the following analytical statement: ‘This limited range suggests high methodological consistency, though it may imply a stricter-than-necessary inclusion threshold that potentially excludes relevant broader approaches as noted in (Paper: 1).’</w:t>
      </w:r>
    </w:p>
    <w:p w:rsidR="00A77427" w:rsidRDefault="007F1D13">
      <w:pPr>
        <w:ind/>
      </w:pPr>
      <w:r>
        <w:rPr>
          <w:color w:val="000000"/>
          <w:rFonts w:ascii="Arial" w:eastAsia="Arial" w:hAnsi="Arial" w:cs="Arial"/>
          <w:sz w:val="23"/>
          <w:szCs w:val="23"/>
        </w:rPr>
        <w:t xml:space="preserve">There is a </w:t>
      </w:r>
      <w:r>
        <w:rPr>
          <w:color w:val="000000"/>
          <w:b/>
          <w:bCs/>
          <w:rFonts w:ascii="Arial" w:eastAsia="Arial" w:hAnsi="Arial" w:cs="Arial"/>
          <w:sz w:val="23"/>
          <w:szCs w:val="23"/>
        </w:rPr>
        <w:t>terminology inconsistency</w:t>
      </w:r>
      <w:r>
        <w:rPr>
          <w:color w:val="000000"/>
          <w:rFonts w:ascii="Arial" w:eastAsia="Arial" w:hAnsi="Arial" w:cs="Arial"/>
          <w:sz w:val="23"/>
          <w:szCs w:val="23"/>
        </w:rPr>
        <w:t xml:space="preserve"> in the classification of ‘hybrid’ versus ‘multimodal’ models between (Block: 218) and (Block: 290), which undermines the </w:t>
      </w:r>
      <w:r>
        <w:rPr>
          <w:color w:val="000000"/>
          <w:b/>
          <w:bCs/>
          <w:rFonts w:ascii="Arial" w:eastAsia="Arial" w:hAnsi="Arial" w:cs="Arial"/>
          <w:sz w:val="23"/>
          <w:szCs w:val="23"/>
        </w:rPr>
        <w:t>taxonomical clarity</w:t>
      </w:r>
      <w:r>
        <w:rPr>
          <w:color w:val="000000"/>
          <w:rFonts w:ascii="Arial" w:eastAsia="Arial" w:hAnsi="Arial" w:cs="Arial"/>
          <w:sz w:val="23"/>
          <w:szCs w:val="23"/>
        </w:rPr>
        <w:t xml:space="preserve"> of the review.</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In Section 3.6, insert a definitive clarification: ‘Hybrid models are defined as architectures combining two or more distinct neural network types, whereas multimodal models integrate data from heterogeneous input sources.’</w:t>
      </w:r>
    </w:p>
    <w:p w:rsidR="00A77427" w:rsidRDefault="007F1D13">
      <w:pPr>
        <w:ind/>
      </w:pPr>
      <w:r>
        <w:rPr>
          <w:color w:val="000000"/>
          <w:rFonts w:ascii="Arial" w:eastAsia="Arial" w:hAnsi="Arial" w:cs="Arial"/>
          <w:sz w:val="23"/>
          <w:szCs w:val="23"/>
        </w:rPr>
        <w:t>Update the taxonomy in (Block: 218) and the summary in (Block: 290) to reflect this distinction consistently, ensuring alignment with the frameworks discussed in (Paper: 6) and (Paper: 7).</w:t>
      </w:r>
    </w:p>
    <w:p w:rsidR="00A77427" w:rsidRDefault="007F1D13">
      <w:pPr>
        <w:ind/>
      </w:pPr>
      <w:r>
        <w:rPr>
          <w:color w:val="000000"/>
          <w:b/>
          <w:bCs/>
          <w:rFonts w:ascii="Arial" w:eastAsia="Arial" w:hAnsi="Arial" w:cs="Arial"/>
          <w:sz w:val="28"/>
          <w:szCs w:val="28"/>
        </w:rPr>
        <w:t>🎯 Reviewer 4 (Impact)</w:t>
      </w:r>
    </w:p>
    <w:p w:rsidR="00A77427" w:rsidRDefault="007F1D13">
      <w:pPr>
        <w:ind/>
      </w:pPr>
      <w:r>
        <w:rPr>
          <w:color w:val="000000"/>
          <w:b/>
          <w:bCs/>
          <w:rFonts w:ascii="Arial" w:eastAsia="Arial" w:hAnsi="Arial" w:cs="Arial"/>
          <w:sz w:val="25"/>
          <w:szCs w:val="25"/>
        </w:rPr>
        <w:t>Strengths</w:t>
      </w:r>
    </w:p>
    <w:p w:rsidR="00A77427" w:rsidRDefault="007F1D13">
      <w:pPr>
        <w:ind/>
      </w:pPr>
      <w:r>
        <w:rPr>
          <w:color w:val="000000"/>
          <w:rFonts w:ascii="Arial" w:eastAsia="Arial" w:hAnsi="Arial" w:cs="Arial"/>
          <w:sz w:val="23"/>
          <w:szCs w:val="23"/>
        </w:rPr>
        <w:t xml:space="preserve">The review offers a </w:t>
      </w:r>
      <w:r>
        <w:rPr>
          <w:color w:val="000000"/>
          <w:b/>
          <w:bCs/>
          <w:rFonts w:ascii="Arial" w:eastAsia="Arial" w:hAnsi="Arial" w:cs="Arial"/>
          <w:sz w:val="23"/>
          <w:szCs w:val="23"/>
        </w:rPr>
        <w:t>comprehensive mapping</w:t>
      </w:r>
      <w:r>
        <w:rPr>
          <w:color w:val="000000"/>
          <w:rFonts w:ascii="Arial" w:eastAsia="Arial" w:hAnsi="Arial" w:cs="Arial"/>
          <w:sz w:val="23"/>
          <w:szCs w:val="23"/>
        </w:rPr>
        <w:t xml:space="preserve"> of Deep Learning architectures—including </w:t>
      </w:r>
      <w:r>
        <w:rPr>
          <w:color w:val="000000"/>
          <w:b/>
          <w:bCs/>
          <w:rFonts w:ascii="Arial" w:eastAsia="Arial" w:hAnsi="Arial" w:cs="Arial"/>
          <w:sz w:val="23"/>
          <w:szCs w:val="23"/>
        </w:rPr>
        <w:t>GNNs</w:t>
      </w:r>
      <w:r>
        <w:rPr>
          <w:color w:val="000000"/>
          <w:rFonts w:ascii="Arial" w:eastAsia="Arial" w:hAnsi="Arial" w:cs="Arial"/>
          <w:sz w:val="23"/>
          <w:szCs w:val="23"/>
        </w:rPr>
        <w:t xml:space="preserve">, </w:t>
      </w:r>
      <w:r>
        <w:rPr>
          <w:color w:val="000000"/>
          <w:b/>
          <w:bCs/>
          <w:rFonts w:ascii="Arial" w:eastAsia="Arial" w:hAnsi="Arial" w:cs="Arial"/>
          <w:sz w:val="23"/>
          <w:szCs w:val="23"/>
        </w:rPr>
        <w:t>Transformers</w:t>
      </w:r>
      <w:r>
        <w:rPr>
          <w:color w:val="000000"/>
          <w:rFonts w:ascii="Arial" w:eastAsia="Arial" w:hAnsi="Arial" w:cs="Arial"/>
          <w:sz w:val="23"/>
          <w:szCs w:val="23"/>
        </w:rPr>
        <w:t xml:space="preserve">, and </w:t>
      </w:r>
      <w:r>
        <w:rPr>
          <w:color w:val="000000"/>
          <w:b/>
          <w:bCs/>
          <w:rFonts w:ascii="Arial" w:eastAsia="Arial" w:hAnsi="Arial" w:cs="Arial"/>
          <w:sz w:val="23"/>
          <w:szCs w:val="23"/>
        </w:rPr>
        <w:t>multimodal fusion</w:t>
      </w:r>
      <w:r>
        <w:rPr>
          <w:color w:val="000000"/>
          <w:rFonts w:ascii="Arial" w:eastAsia="Arial" w:hAnsi="Arial" w:cs="Arial"/>
          <w:sz w:val="23"/>
          <w:szCs w:val="23"/>
        </w:rPr>
        <w:t xml:space="preserve">—which directly enhances the </w:t>
      </w:r>
      <w:r>
        <w:rPr>
          <w:color w:val="000000"/>
          <w:b/>
          <w:bCs/>
          <w:rFonts w:ascii="Arial" w:eastAsia="Arial" w:hAnsi="Arial" w:cs="Arial"/>
          <w:sz w:val="23"/>
          <w:szCs w:val="23"/>
        </w:rPr>
        <w:t>professional relevance</w:t>
      </w:r>
      <w:r>
        <w:rPr>
          <w:color w:val="000000"/>
          <w:rFonts w:ascii="Arial" w:eastAsia="Arial" w:hAnsi="Arial" w:cs="Arial"/>
          <w:sz w:val="23"/>
          <w:szCs w:val="23"/>
        </w:rPr>
        <w:t xml:space="preserve"> for ITS practitioners by identifying the technological roadmap for </w:t>
      </w:r>
      <w:r>
        <w:rPr>
          <w:color w:val="000000"/>
          <w:b/>
          <w:bCs/>
          <w:rFonts w:ascii="Arial" w:eastAsia="Arial" w:hAnsi="Arial" w:cs="Arial"/>
          <w:sz w:val="23"/>
          <w:szCs w:val="23"/>
        </w:rPr>
        <w:t>modernizing municipal traffic management</w:t>
      </w:r>
      <w:r>
        <w:rPr>
          <w:color w:val="000000"/>
          <w:rFonts w:ascii="Arial" w:eastAsia="Arial" w:hAnsi="Arial" w:cs="Arial"/>
          <w:sz w:val="23"/>
          <w:szCs w:val="23"/>
        </w:rPr>
        <w:t>, aligning with the methodologies discussed in (Paper: 1) and (Paper: 20).</w:t>
      </w:r>
    </w:p>
    <w:p w:rsidR="00A77427" w:rsidRDefault="007F1D13">
      <w:pPr>
        <w:ind/>
      </w:pPr>
      <w:r>
        <w:rPr>
          <w:color w:val="000000"/>
          <w:rFonts w:ascii="Arial" w:eastAsia="Arial" w:hAnsi="Arial" w:cs="Arial"/>
          <w:sz w:val="23"/>
          <w:szCs w:val="23"/>
        </w:rPr>
        <w:t xml:space="preserve">The authors correctly identify the </w:t>
      </w:r>
      <w:r>
        <w:rPr>
          <w:color w:val="000000"/>
          <w:b/>
          <w:bCs/>
          <w:rFonts w:ascii="Arial" w:eastAsia="Arial" w:hAnsi="Arial" w:cs="Arial"/>
          <w:sz w:val="23"/>
          <w:szCs w:val="23"/>
        </w:rPr>
        <w:t>critical absence of public, standardized benchmarks</w:t>
      </w:r>
      <w:r>
        <w:rPr>
          <w:color w:val="000000"/>
          <w:rFonts w:ascii="Arial" w:eastAsia="Arial" w:hAnsi="Arial" w:cs="Arial"/>
          <w:sz w:val="23"/>
          <w:szCs w:val="23"/>
        </w:rPr>
        <w:t xml:space="preserve"> as a primary obstacle to the industrial adoption of anomaly detection systems, a significant insight for </w:t>
      </w:r>
      <w:r>
        <w:rPr>
          <w:color w:val="000000"/>
          <w:b/>
          <w:bCs/>
          <w:rFonts w:ascii="Arial" w:eastAsia="Arial" w:hAnsi="Arial" w:cs="Arial"/>
          <w:sz w:val="23"/>
          <w:szCs w:val="23"/>
        </w:rPr>
        <w:t>field-wide impact</w:t>
      </w:r>
      <w:r>
        <w:rPr>
          <w:color w:val="000000"/>
          <w:rFonts w:ascii="Arial" w:eastAsia="Arial" w:hAnsi="Arial" w:cs="Arial"/>
          <w:sz w:val="23"/>
          <w:szCs w:val="23"/>
        </w:rPr>
        <w:t xml:space="preserve"> and resource allocation in smart city planning, as supported by the benchmarking efforts in (Paper: 27).</w:t>
      </w:r>
    </w:p>
    <w:p w:rsidR="00A77427" w:rsidRDefault="007F1D13">
      <w:pPr>
        <w:ind/>
      </w:pPr>
      <w:r>
        <w:rPr>
          <w:color w:val="000000"/>
          <w:b/>
          <w:bCs/>
          <w:rFonts w:ascii="Arial" w:eastAsia="Arial" w:hAnsi="Arial" w:cs="Arial"/>
          <w:sz w:val="25"/>
          <w:szCs w:val="25"/>
        </w:rPr>
        <w:t>Weaknesses</w:t>
      </w:r>
    </w:p>
    <w:p w:rsidR="00A77427" w:rsidRDefault="007F1D13">
      <w:pPr>
        <w:ind/>
      </w:pPr>
      <w:r>
        <w:rPr>
          <w:color w:val="000000"/>
          <w:rFonts w:ascii="Arial" w:eastAsia="Arial" w:hAnsi="Arial" w:cs="Arial"/>
          <w:sz w:val="23"/>
          <w:szCs w:val="23"/>
        </w:rPr>
        <w:t xml:space="preserve">The discussion on </w:t>
      </w:r>
      <w:r>
        <w:rPr>
          <w:color w:val="000000"/>
          <w:b/>
          <w:bCs/>
          <w:rFonts w:ascii="Arial" w:eastAsia="Arial" w:hAnsi="Arial" w:cs="Arial"/>
          <w:sz w:val="23"/>
          <w:szCs w:val="23"/>
        </w:rPr>
        <w:t>operational deployment</w:t>
      </w:r>
      <w:r>
        <w:rPr>
          <w:color w:val="000000"/>
          <w:rFonts w:ascii="Arial" w:eastAsia="Arial" w:hAnsi="Arial" w:cs="Arial"/>
          <w:sz w:val="23"/>
          <w:szCs w:val="23"/>
        </w:rPr>
        <w:t xml:space="preserve"> in (Block: 267) is currently too abstract, failing to provide specific </w:t>
      </w:r>
      <w:r>
        <w:rPr>
          <w:color w:val="000000"/>
          <w:b/>
          <w:bCs/>
          <w:rFonts w:ascii="Arial" w:eastAsia="Arial" w:hAnsi="Arial" w:cs="Arial"/>
          <w:sz w:val="23"/>
          <w:szCs w:val="23"/>
        </w:rPr>
        <w:t>economic or computational feasibility metrics</w:t>
      </w:r>
      <w:r>
        <w:rPr>
          <w:color w:val="000000"/>
          <w:rFonts w:ascii="Arial" w:eastAsia="Arial" w:hAnsi="Arial" w:cs="Arial"/>
          <w:sz w:val="23"/>
          <w:szCs w:val="23"/>
        </w:rPr>
        <w:t xml:space="preserve"> required by transit authorities to justify the transition from traditional to deep learning-based monitoring systems.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Include a formal recommendation that authors must report </w:t>
      </w:r>
      <w:r>
        <w:rPr>
          <w:color w:val="000000"/>
          <w:b/>
          <w:bCs/>
          <w:rFonts w:ascii="Arial" w:eastAsia="Arial" w:hAnsi="Arial" w:cs="Arial"/>
          <w:sz w:val="23"/>
          <w:szCs w:val="23"/>
        </w:rPr>
        <w:t>inference latency</w:t>
      </w:r>
      <w:r>
        <w:rPr>
          <w:color w:val="000000"/>
          <w:rFonts w:ascii="Arial" w:eastAsia="Arial" w:hAnsi="Arial" w:cs="Arial"/>
          <w:sz w:val="23"/>
          <w:szCs w:val="23"/>
        </w:rPr>
        <w:t xml:space="preserve"> and </w:t>
      </w:r>
      <w:r>
        <w:rPr>
          <w:color w:val="000000"/>
          <w:b/>
          <w:bCs/>
          <w:rFonts w:ascii="Arial" w:eastAsia="Arial" w:hAnsi="Arial" w:cs="Arial"/>
          <w:sz w:val="23"/>
          <w:szCs w:val="23"/>
        </w:rPr>
        <w:t>computational overhead per incident detection</w:t>
      </w:r>
      <w:r>
        <w:rPr>
          <w:color w:val="000000"/>
          <w:rFonts w:ascii="Arial" w:eastAsia="Arial" w:hAnsi="Arial" w:cs="Arial"/>
          <w:sz w:val="23"/>
          <w:szCs w:val="23"/>
        </w:rPr>
        <w:t xml:space="preserve"> to align with the real-world deployment guidelines found in (Paper: 3) and (Paper: 17).</w:t>
      </w:r>
    </w:p>
    <w:p w:rsidR="00A77427" w:rsidRDefault="007F1D13">
      <w:pPr>
        <w:ind/>
      </w:pPr>
      <w:r>
        <w:rPr>
          <w:color w:val="000000"/>
          <w:rFonts w:ascii="Arial" w:eastAsia="Arial" w:hAnsi="Arial" w:cs="Arial"/>
          <w:sz w:val="23"/>
          <w:szCs w:val="23"/>
        </w:rPr>
        <w:t xml:space="preserve">Advocate for a </w:t>
      </w:r>
      <w:r>
        <w:rPr>
          <w:color w:val="000000"/>
          <w:b/>
          <w:bCs/>
          <w:rFonts w:ascii="Arial" w:eastAsia="Arial" w:hAnsi="Arial" w:cs="Arial"/>
          <w:sz w:val="23"/>
          <w:szCs w:val="23"/>
        </w:rPr>
        <w:t>cost-benefit analysis</w:t>
      </w:r>
      <w:r>
        <w:rPr>
          <w:color w:val="000000"/>
          <w:rFonts w:ascii="Arial" w:eastAsia="Arial" w:hAnsi="Arial" w:cs="Arial"/>
          <w:sz w:val="23"/>
          <w:szCs w:val="23"/>
        </w:rPr>
        <w:t xml:space="preserve"> framework that contrasts the maintenance costs of complex hybrid architectures versus traditional statistical models, as suggested in the practical survey in (Paper: 5).</w:t>
      </w:r>
    </w:p>
    <w:p w:rsidR="00A77427" w:rsidRDefault="007F1D13">
      <w:pPr>
        <w:ind/>
      </w:pPr>
      <w:r>
        <w:rPr>
          <w:color w:val="000000"/>
          <w:rFonts w:ascii="Arial" w:eastAsia="Arial" w:hAnsi="Arial" w:cs="Arial"/>
          <w:sz w:val="23"/>
          <w:szCs w:val="23"/>
        </w:rPr>
        <w:t xml:space="preserve">In (Block: 296), while </w:t>
      </w:r>
      <w:r>
        <w:rPr>
          <w:color w:val="000000"/>
          <w:b/>
          <w:bCs/>
          <w:rFonts w:ascii="Arial" w:eastAsia="Arial" w:hAnsi="Arial" w:cs="Arial"/>
          <w:sz w:val="23"/>
          <w:szCs w:val="23"/>
        </w:rPr>
        <w:t>Explainable AI (XAI)</w:t>
      </w:r>
      <w:r>
        <w:rPr>
          <w:color w:val="000000"/>
          <w:rFonts w:ascii="Arial" w:eastAsia="Arial" w:hAnsi="Arial" w:cs="Arial"/>
          <w:sz w:val="23"/>
          <w:szCs w:val="23"/>
        </w:rPr>
        <w:t xml:space="preserve"> is identified as important, the lack of quantitative targets for </w:t>
      </w:r>
      <w:r>
        <w:rPr>
          <w:color w:val="000000"/>
          <w:b/>
          <w:bCs/>
          <w:rFonts w:ascii="Arial" w:eastAsia="Arial" w:hAnsi="Arial" w:cs="Arial"/>
          <w:sz w:val="23"/>
          <w:szCs w:val="23"/>
        </w:rPr>
        <w:t>operator trust</w:t>
      </w:r>
      <w:r>
        <w:rPr>
          <w:color w:val="000000"/>
          <w:rFonts w:ascii="Arial" w:eastAsia="Arial" w:hAnsi="Arial" w:cs="Arial"/>
          <w:sz w:val="23"/>
          <w:szCs w:val="23"/>
        </w:rPr>
        <w:t xml:space="preserve"> and </w:t>
      </w:r>
      <w:r>
        <w:rPr>
          <w:color w:val="000000"/>
          <w:b/>
          <w:bCs/>
          <w:rFonts w:ascii="Arial" w:eastAsia="Arial" w:hAnsi="Arial" w:cs="Arial"/>
          <w:sz w:val="23"/>
          <w:szCs w:val="23"/>
        </w:rPr>
        <w:t>decision-making efficacy</w:t>
      </w:r>
      <w:r>
        <w:rPr>
          <w:color w:val="000000"/>
          <w:rFonts w:ascii="Arial" w:eastAsia="Arial" w:hAnsi="Arial" w:cs="Arial"/>
          <w:sz w:val="23"/>
          <w:szCs w:val="23"/>
        </w:rPr>
        <w:t xml:space="preserve"> leaves a gap in understanding how these tools meet the </w:t>
      </w:r>
      <w:r>
        <w:rPr>
          <w:color w:val="000000"/>
          <w:b/>
          <w:bCs/>
          <w:rFonts w:ascii="Arial" w:eastAsia="Arial" w:hAnsi="Arial" w:cs="Arial"/>
          <w:sz w:val="23"/>
          <w:szCs w:val="23"/>
        </w:rPr>
        <w:t>regulatory and safety requirements</w:t>
      </w:r>
      <w:r>
        <w:rPr>
          <w:color w:val="000000"/>
          <w:rFonts w:ascii="Arial" w:eastAsia="Arial" w:hAnsi="Arial" w:cs="Arial"/>
          <w:sz w:val="23"/>
          <w:szCs w:val="23"/>
        </w:rPr>
        <w:t xml:space="preserve"> essential for civic adoption.</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In Section 5.3, add a specific recommendation for defining </w:t>
      </w:r>
      <w:r>
        <w:rPr>
          <w:color w:val="000000"/>
          <w:b/>
          <w:bCs/>
          <w:rFonts w:ascii="Arial" w:eastAsia="Arial" w:hAnsi="Arial" w:cs="Arial"/>
          <w:sz w:val="23"/>
          <w:szCs w:val="23"/>
        </w:rPr>
        <w:t>human-in-the-loop decision improvement rates</w:t>
      </w:r>
      <w:r>
        <w:rPr>
          <w:color w:val="000000"/>
          <w:rFonts w:ascii="Arial" w:eastAsia="Arial" w:hAnsi="Arial" w:cs="Arial"/>
          <w:sz w:val="23"/>
          <w:szCs w:val="23"/>
        </w:rPr>
        <w:t xml:space="preserve"> required for operator trust in municipal traffic management systems.</w:t>
      </w:r>
    </w:p>
    <w:p w:rsidR="00A77427" w:rsidRDefault="007F1D13">
      <w:pPr>
        <w:ind/>
      </w:pPr>
      <w:r>
        <w:rPr>
          <w:color w:val="000000"/>
          <w:rFonts w:ascii="Arial" w:eastAsia="Arial" w:hAnsi="Arial" w:cs="Arial"/>
          <w:sz w:val="23"/>
          <w:szCs w:val="23"/>
        </w:rPr>
        <w:t xml:space="preserve">Reframing the interpretability discussion to address </w:t>
      </w:r>
      <w:r>
        <w:rPr>
          <w:color w:val="000000"/>
          <w:b/>
          <w:bCs/>
          <w:rFonts w:ascii="Arial" w:eastAsia="Arial" w:hAnsi="Arial" w:cs="Arial"/>
          <w:sz w:val="23"/>
          <w:szCs w:val="23"/>
        </w:rPr>
        <w:t>regulatory compliance and safety certification</w:t>
      </w:r>
      <w:r>
        <w:rPr>
          <w:color w:val="000000"/>
          <w:rFonts w:ascii="Arial" w:eastAsia="Arial" w:hAnsi="Arial" w:cs="Arial"/>
          <w:sz w:val="23"/>
          <w:szCs w:val="23"/>
        </w:rPr>
        <w:t xml:space="preserve"> protocols, referencing the real-world traffic system applications and safety considerations in (Paper: 21).</w:t>
      </w:r>
    </w:p>
    <w:p w:rsidR="00A77427" w:rsidRDefault="007F1D13">
      <w:pPr>
        <w:ind/>
      </w:pPr>
      <w:r>
        <w:rPr>
          <w:color w:val="000000"/>
          <w:rFonts w:ascii="Arial" w:eastAsia="Arial" w:hAnsi="Arial" w:cs="Arial"/>
          <w:sz w:val="23"/>
          <w:szCs w:val="23"/>
        </w:rPr>
        <w:t xml:space="preserve">The conclusion in (Block: 307) misses the high-impact potential of </w:t>
      </w:r>
      <w:r>
        <w:rPr>
          <w:color w:val="000000"/>
          <w:b/>
          <w:bCs/>
          <w:rFonts w:ascii="Arial" w:eastAsia="Arial" w:hAnsi="Arial" w:cs="Arial"/>
          <w:sz w:val="23"/>
          <w:szCs w:val="23"/>
        </w:rPr>
        <w:t>Domain-Adaptive Pre-Training (DAPT)</w:t>
      </w:r>
      <w:r>
        <w:rPr>
          <w:color w:val="000000"/>
          <w:rFonts w:ascii="Arial" w:eastAsia="Arial" w:hAnsi="Arial" w:cs="Arial"/>
          <w:sz w:val="23"/>
          <w:szCs w:val="23"/>
        </w:rPr>
        <w:t xml:space="preserve">, which is a critical technical strategy for bridging the reality gap between </w:t>
      </w:r>
      <w:r>
        <w:rPr>
          <w:color w:val="000000"/>
          <w:b/>
          <w:bCs/>
          <w:rFonts w:ascii="Arial" w:eastAsia="Arial" w:hAnsi="Arial" w:cs="Arial"/>
          <w:sz w:val="23"/>
          <w:szCs w:val="23"/>
        </w:rPr>
        <w:t>simulated urban environments</w:t>
      </w:r>
      <w:r>
        <w:rPr>
          <w:color w:val="000000"/>
          <w:rFonts w:ascii="Arial" w:eastAsia="Arial" w:hAnsi="Arial" w:cs="Arial"/>
          <w:sz w:val="23"/>
          <w:szCs w:val="23"/>
        </w:rPr>
        <w:t xml:space="preserve"> and </w:t>
      </w:r>
      <w:r>
        <w:rPr>
          <w:color w:val="000000"/>
          <w:b/>
          <w:bCs/>
          <w:rFonts w:ascii="Arial" w:eastAsia="Arial" w:hAnsi="Arial" w:cs="Arial"/>
          <w:sz w:val="23"/>
          <w:szCs w:val="23"/>
        </w:rPr>
        <w:t>live deployment</w:t>
      </w:r>
      <w:r>
        <w:rPr>
          <w:color w:val="000000"/>
          <w:rFonts w:ascii="Arial" w:eastAsia="Arial" w:hAnsi="Arial" w:cs="Arial"/>
          <w:sz w:val="23"/>
          <w:szCs w:val="23"/>
        </w:rPr>
        <w:t>.</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Explicitly recommend </w:t>
      </w:r>
      <w:r>
        <w:rPr>
          <w:color w:val="000000"/>
          <w:b/>
          <w:bCs/>
          <w:rFonts w:ascii="Arial" w:eastAsia="Arial" w:hAnsi="Arial" w:cs="Arial"/>
          <w:sz w:val="23"/>
          <w:szCs w:val="23"/>
        </w:rPr>
        <w:t>Domain-Adaptive Pre-Training (DAPT)</w:t>
      </w:r>
      <w:r>
        <w:rPr>
          <w:color w:val="000000"/>
          <w:rFonts w:ascii="Arial" w:eastAsia="Arial" w:hAnsi="Arial" w:cs="Arial"/>
          <w:sz w:val="23"/>
          <w:szCs w:val="23"/>
        </w:rPr>
        <w:t xml:space="preserve"> on unlabeled real-world driving data as a critical pathway to model portability and urban-scale adoption, consistent with the findings in (Paper: 14).</w:t>
      </w:r>
    </w:p>
    <w:p w:rsidR="00A77427" w:rsidRDefault="007F1D13">
      <w:pPr>
        <w:ind/>
      </w:pPr>
      <w:r>
        <w:rPr>
          <w:color w:val="000000"/>
          <w:rFonts w:ascii="Arial" w:eastAsia="Arial" w:hAnsi="Arial" w:cs="Arial"/>
          <w:sz w:val="23"/>
          <w:szCs w:val="23"/>
        </w:rPr>
        <w:t xml:space="preserve">Add an actionable recommendation for future studies to benchmark their models across </w:t>
      </w:r>
      <w:r>
        <w:rPr>
          <w:color w:val="000000"/>
          <w:b/>
          <w:bCs/>
          <w:rFonts w:ascii="Arial" w:eastAsia="Arial" w:hAnsi="Arial" w:cs="Arial"/>
          <w:sz w:val="23"/>
          <w:szCs w:val="23"/>
        </w:rPr>
        <w:t>diverse urban topologies</w:t>
      </w:r>
      <w:r>
        <w:rPr>
          <w:color w:val="000000"/>
          <w:rFonts w:ascii="Arial" w:eastAsia="Arial" w:hAnsi="Arial" w:cs="Arial"/>
          <w:sz w:val="23"/>
          <w:szCs w:val="23"/>
        </w:rPr>
        <w:t xml:space="preserve"> (e.g., comparing grid-based city centers vs. arterial suburban highways) to quantify societal impact and robustness, as evidenced by the methodology in (Paper: 4) and (Paper: 38).</w:t>
      </w:r>
    </w:p>
    <w:p w:rsidR="00A77427" w:rsidRDefault="007F1D13">
      <w:pPr>
        <w:ind/>
      </w:pPr>
      <w:r>
        <w:rPr>
          <w:color w:val="000000"/>
          <w:b/>
          <w:bCs/>
          <w:rFonts w:ascii="Arial" w:eastAsia="Arial" w:hAnsi="Arial" w:cs="Arial"/>
          <w:sz w:val="28"/>
          <w:szCs w:val="28"/>
        </w:rPr>
        <w:t>✍️ Reviewer 5 (Limitation)</w:t>
      </w:r>
    </w:p>
    <w:p w:rsidR="00A77427" w:rsidRDefault="007F1D13">
      <w:pPr>
        <w:ind/>
      </w:pPr>
      <w:r>
        <w:rPr>
          <w:color w:val="000000"/>
          <w:b/>
          <w:bCs/>
          <w:rFonts w:ascii="Arial" w:eastAsia="Arial" w:hAnsi="Arial" w:cs="Arial"/>
          <w:sz w:val="25"/>
          <w:szCs w:val="25"/>
        </w:rPr>
        <w:t>Strengths</w:t>
      </w:r>
    </w:p>
    <w:p w:rsidR="00A77427" w:rsidRDefault="007F1D13">
      <w:pPr>
        <w:ind/>
      </w:pPr>
      <w:r>
        <w:rPr>
          <w:color w:val="000000"/>
          <w:rFonts w:ascii="Arial" w:eastAsia="Arial" w:hAnsi="Arial" w:cs="Arial"/>
          <w:sz w:val="23"/>
          <w:szCs w:val="23"/>
        </w:rPr>
        <w:t xml:space="preserve">The authors demonstrate commendable </w:t>
      </w:r>
      <w:r>
        <w:rPr>
          <w:color w:val="000000"/>
          <w:b/>
          <w:bCs/>
          <w:rFonts w:ascii="Arial" w:eastAsia="Arial" w:hAnsi="Arial" w:cs="Arial"/>
          <w:sz w:val="23"/>
          <w:szCs w:val="23"/>
        </w:rPr>
        <w:t>self-awareness</w:t>
      </w:r>
      <w:r>
        <w:rPr>
          <w:color w:val="000000"/>
          <w:rFonts w:ascii="Arial" w:eastAsia="Arial" w:hAnsi="Arial" w:cs="Arial"/>
          <w:sz w:val="23"/>
          <w:szCs w:val="23"/>
        </w:rPr>
        <w:t xml:space="preserve"> by explicitly identifying the critical shortage of </w:t>
      </w:r>
      <w:r>
        <w:rPr>
          <w:color w:val="000000"/>
          <w:b/>
          <w:bCs/>
          <w:rFonts w:ascii="Arial" w:eastAsia="Arial" w:hAnsi="Arial" w:cs="Arial"/>
          <w:sz w:val="23"/>
          <w:szCs w:val="23"/>
        </w:rPr>
        <w:t>standardized, publicly accessible benchmarks</w:t>
      </w:r>
      <w:r>
        <w:rPr>
          <w:color w:val="000000"/>
          <w:rFonts w:ascii="Arial" w:eastAsia="Arial" w:hAnsi="Arial" w:cs="Arial"/>
          <w:sz w:val="23"/>
          <w:szCs w:val="23"/>
        </w:rPr>
        <w:t xml:space="preserve"> and </w:t>
      </w:r>
      <w:r>
        <w:rPr>
          <w:color w:val="000000"/>
          <w:b/>
          <w:bCs/>
          <w:rFonts w:ascii="Arial" w:eastAsia="Arial" w:hAnsi="Arial" w:cs="Arial"/>
          <w:sz w:val="23"/>
          <w:szCs w:val="23"/>
        </w:rPr>
        <w:t>labeled datasets</w:t>
      </w:r>
      <w:r>
        <w:rPr>
          <w:color w:val="000000"/>
          <w:rFonts w:ascii="Arial" w:eastAsia="Arial" w:hAnsi="Arial" w:cs="Arial"/>
          <w:sz w:val="23"/>
          <w:szCs w:val="23"/>
        </w:rPr>
        <w:t xml:space="preserve"> as the primary bottleneck for advancing urban traffic anomaly detection, which aligns perfectly with findings in (Paper: 1) and (Paper: 13).</w:t>
      </w:r>
    </w:p>
    <w:p w:rsidR="00A77427" w:rsidRDefault="007F1D13">
      <w:pPr>
        <w:ind/>
      </w:pPr>
      <w:r>
        <w:rPr>
          <w:color w:val="000000"/>
          <w:rFonts w:ascii="Arial" w:eastAsia="Arial" w:hAnsi="Arial" w:cs="Arial"/>
          <w:sz w:val="23"/>
          <w:szCs w:val="23"/>
        </w:rPr>
        <w:t xml:space="preserve">The systematic categorization of limitations in (Block: 267)—specifically highlighting the challenges of </w:t>
      </w:r>
      <w:r>
        <w:rPr>
          <w:color w:val="000000"/>
          <w:b/>
          <w:bCs/>
          <w:rFonts w:ascii="Arial" w:eastAsia="Arial" w:hAnsi="Arial" w:cs="Arial"/>
          <w:sz w:val="23"/>
          <w:szCs w:val="23"/>
        </w:rPr>
        <w:t>data scarcity</w:t>
      </w:r>
      <w:r>
        <w:rPr>
          <w:color w:val="000000"/>
          <w:rFonts w:ascii="Arial" w:eastAsia="Arial" w:hAnsi="Arial" w:cs="Arial"/>
          <w:sz w:val="23"/>
          <w:szCs w:val="23"/>
        </w:rPr>
        <w:t xml:space="preserve">, </w:t>
      </w:r>
      <w:r>
        <w:rPr>
          <w:color w:val="000000"/>
          <w:b/>
          <w:bCs/>
          <w:rFonts w:ascii="Arial" w:eastAsia="Arial" w:hAnsi="Arial" w:cs="Arial"/>
          <w:sz w:val="23"/>
          <w:szCs w:val="23"/>
        </w:rPr>
        <w:t>labeling reliability</w:t>
      </w:r>
      <w:r>
        <w:rPr>
          <w:color w:val="000000"/>
          <w:rFonts w:ascii="Arial" w:eastAsia="Arial" w:hAnsi="Arial" w:cs="Arial"/>
          <w:sz w:val="23"/>
          <w:szCs w:val="23"/>
        </w:rPr>
        <w:t xml:space="preserve">, and </w:t>
      </w:r>
      <w:r>
        <w:rPr>
          <w:color w:val="000000"/>
          <w:b/>
          <w:bCs/>
          <w:rFonts w:ascii="Arial" w:eastAsia="Arial" w:hAnsi="Arial" w:cs="Arial"/>
          <w:sz w:val="23"/>
          <w:szCs w:val="23"/>
        </w:rPr>
        <w:t>computational overhead</w:t>
      </w:r>
      <w:r>
        <w:rPr>
          <w:color w:val="000000"/>
          <w:rFonts w:ascii="Arial" w:eastAsia="Arial" w:hAnsi="Arial" w:cs="Arial"/>
          <w:sz w:val="23"/>
          <w:szCs w:val="23"/>
        </w:rPr>
        <w:t>—provides a robust and expert-level roadmap that guides future research efforts effectively.</w:t>
      </w:r>
    </w:p>
    <w:p w:rsidR="00A77427" w:rsidRDefault="007F1D13">
      <w:pPr>
        <w:ind/>
      </w:pPr>
      <w:r>
        <w:rPr>
          <w:color w:val="000000"/>
          <w:b/>
          <w:bCs/>
          <w:rFonts w:ascii="Arial" w:eastAsia="Arial" w:hAnsi="Arial" w:cs="Arial"/>
          <w:sz w:val="25"/>
          <w:szCs w:val="25"/>
        </w:rPr>
        <w:t>Weaknesses</w:t>
      </w:r>
    </w:p>
    <w:p w:rsidR="00A77427" w:rsidRDefault="007F1D13">
      <w:pPr>
        <w:ind/>
      </w:pPr>
      <w:r>
        <w:rPr>
          <w:color w:val="000000"/>
          <w:rFonts w:ascii="Arial" w:eastAsia="Arial" w:hAnsi="Arial" w:cs="Arial"/>
          <w:sz w:val="23"/>
          <w:szCs w:val="23"/>
        </w:rPr>
        <w:t xml:space="preserve">The discussion on future work in (Block: 307) regarding </w:t>
      </w:r>
      <w:r>
        <w:rPr>
          <w:color w:val="000000"/>
          <w:b/>
          <w:bCs/>
          <w:rFonts w:ascii="Arial" w:eastAsia="Arial" w:hAnsi="Arial" w:cs="Arial"/>
          <w:sz w:val="23"/>
          <w:szCs w:val="23"/>
        </w:rPr>
        <w:t>cross-domain transferability</w:t>
      </w:r>
      <w:r>
        <w:rPr>
          <w:color w:val="000000"/>
          <w:rFonts w:ascii="Arial" w:eastAsia="Arial" w:hAnsi="Arial" w:cs="Arial"/>
          <w:sz w:val="23"/>
          <w:szCs w:val="23"/>
        </w:rPr>
        <w:t xml:space="preserve"> remains overly high-level and lacks specific methodologies for addressing the inherent </w:t>
      </w:r>
      <w:r>
        <w:rPr>
          <w:color w:val="000000"/>
          <w:b/>
          <w:bCs/>
          <w:rFonts w:ascii="Arial" w:eastAsia="Arial" w:hAnsi="Arial" w:cs="Arial"/>
          <w:sz w:val="23"/>
          <w:szCs w:val="23"/>
        </w:rPr>
        <w:t>domain shift</w:t>
      </w:r>
      <w:r>
        <w:rPr>
          <w:color w:val="000000"/>
          <w:rFonts w:ascii="Arial" w:eastAsia="Arial" w:hAnsi="Arial" w:cs="Arial"/>
          <w:sz w:val="23"/>
          <w:szCs w:val="23"/>
        </w:rPr>
        <w:t xml:space="preserve"> between different urban environments.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Propose the adoption of </w:t>
      </w:r>
      <w:r>
        <w:rPr>
          <w:color w:val="000000"/>
          <w:b/>
          <w:bCs/>
          <w:rFonts w:ascii="Arial" w:eastAsia="Arial" w:hAnsi="Arial" w:cs="Arial"/>
          <w:sz w:val="23"/>
          <w:szCs w:val="23"/>
        </w:rPr>
        <w:t>Domain-Adaptive Pre-Training (DAPT)</w:t>
      </w:r>
      <w:r>
        <w:rPr>
          <w:color w:val="000000"/>
          <w:rFonts w:ascii="Arial" w:eastAsia="Arial" w:hAnsi="Arial" w:cs="Arial"/>
          <w:sz w:val="23"/>
          <w:szCs w:val="23"/>
        </w:rPr>
        <w:t xml:space="preserve"> on unlabeled driving videos to enhance model scalability and robustness across diverse urban topographies, as demonstrated by the methodologies in (Paper: 14).</w:t>
      </w:r>
    </w:p>
    <w:p w:rsidR="00A77427" w:rsidRDefault="007F1D13">
      <w:pPr>
        <w:ind/>
      </w:pPr>
      <w:r>
        <w:rPr>
          <w:color w:val="000000"/>
          <w:rFonts w:ascii="Arial" w:eastAsia="Arial" w:hAnsi="Arial" w:cs="Arial"/>
          <w:sz w:val="23"/>
          <w:szCs w:val="23"/>
        </w:rPr>
        <w:t xml:space="preserve">Recommend the exploration of </w:t>
      </w:r>
      <w:r>
        <w:rPr>
          <w:color w:val="000000"/>
          <w:b/>
          <w:bCs/>
          <w:rFonts w:ascii="Arial" w:eastAsia="Arial" w:hAnsi="Arial" w:cs="Arial"/>
          <w:sz w:val="23"/>
          <w:szCs w:val="23"/>
        </w:rPr>
        <w:t>transfer learning</w:t>
      </w:r>
      <w:r>
        <w:rPr>
          <w:color w:val="000000"/>
          <w:rFonts w:ascii="Arial" w:eastAsia="Arial" w:hAnsi="Arial" w:cs="Arial"/>
          <w:sz w:val="23"/>
          <w:szCs w:val="23"/>
        </w:rPr>
        <w:t xml:space="preserve"> specifically to bridge performance gaps between varied sensor configurations and topological complexities found in distinct urban road networks, drawing on the strategies discussed in (Paper: 4).</w:t>
      </w:r>
    </w:p>
    <w:p w:rsidR="00A77427" w:rsidRDefault="007F1D13">
      <w:pPr>
        <w:ind/>
      </w:pPr>
      <w:r>
        <w:rPr>
          <w:color w:val="000000"/>
          <w:rFonts w:ascii="Arial" w:eastAsia="Arial" w:hAnsi="Arial" w:cs="Arial"/>
          <w:sz w:val="23"/>
          <w:szCs w:val="23"/>
        </w:rPr>
        <w:t xml:space="preserve">In (Block: 301), the authors correctly identify </w:t>
      </w:r>
      <w:r>
        <w:rPr>
          <w:color w:val="000000"/>
          <w:b/>
          <w:bCs/>
          <w:rFonts w:ascii="Arial" w:eastAsia="Arial" w:hAnsi="Arial" w:cs="Arial"/>
          <w:sz w:val="23"/>
          <w:szCs w:val="23"/>
        </w:rPr>
        <w:t>model interpretability</w:t>
      </w:r>
      <w:r>
        <w:rPr>
          <w:color w:val="000000"/>
          <w:rFonts w:ascii="Arial" w:eastAsia="Arial" w:hAnsi="Arial" w:cs="Arial"/>
          <w:sz w:val="23"/>
          <w:szCs w:val="23"/>
        </w:rPr>
        <w:t xml:space="preserve"> as a critical gap, yet they fail to suggest concrete, industry-standard </w:t>
      </w:r>
      <w:r>
        <w:rPr>
          <w:color w:val="000000"/>
          <w:b/>
          <w:bCs/>
          <w:rFonts w:ascii="Arial" w:eastAsia="Arial" w:hAnsi="Arial" w:cs="Arial"/>
          <w:sz w:val="23"/>
          <w:szCs w:val="23"/>
        </w:rPr>
        <w:t>Explainable AI (XAI)</w:t>
      </w:r>
      <w:r>
        <w:rPr>
          <w:color w:val="000000"/>
          <w:rFonts w:ascii="Arial" w:eastAsia="Arial" w:hAnsi="Arial" w:cs="Arial"/>
          <w:sz w:val="23"/>
          <w:szCs w:val="23"/>
        </w:rPr>
        <w:t xml:space="preserve"> frameworks essential for validating detection logic in high-stakes Intelligent Transportation Systems (ITS).</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Suggest the integration of </w:t>
      </w:r>
      <w:r>
        <w:rPr>
          <w:color w:val="000000"/>
          <w:b/>
          <w:bCs/>
          <w:rFonts w:ascii="Arial" w:eastAsia="Arial" w:hAnsi="Arial" w:cs="Arial"/>
          <w:sz w:val="23"/>
          <w:szCs w:val="23"/>
        </w:rPr>
        <w:t>attention-based visualization modules</w:t>
      </w:r>
      <w:r>
        <w:rPr>
          <w:color w:val="000000"/>
          <w:rFonts w:ascii="Arial" w:eastAsia="Arial" w:hAnsi="Arial" w:cs="Arial"/>
          <w:sz w:val="23"/>
          <w:szCs w:val="23"/>
        </w:rPr>
        <w:t xml:space="preserve"> into deep architectures to map input features to specific anomaly triggers, which provides necessary transparency as highlighted in (Paper: 31).</w:t>
      </w:r>
    </w:p>
    <w:p w:rsidR="00A77427" w:rsidRDefault="007F1D13">
      <w:pPr>
        <w:ind/>
      </w:pPr>
      <w:r>
        <w:rPr>
          <w:color w:val="000000"/>
          <w:rFonts w:ascii="Arial" w:eastAsia="Arial" w:hAnsi="Arial" w:cs="Arial"/>
          <w:sz w:val="23"/>
          <w:szCs w:val="23"/>
        </w:rPr>
        <w:t xml:space="preserve">Propose the inclusion of </w:t>
      </w:r>
      <w:r>
        <w:rPr>
          <w:color w:val="000000"/>
          <w:b/>
          <w:bCs/>
          <w:rFonts w:ascii="Arial" w:eastAsia="Arial" w:hAnsi="Arial" w:cs="Arial"/>
          <w:sz w:val="23"/>
          <w:szCs w:val="23"/>
        </w:rPr>
        <w:t>rule-based interpretability layers</w:t>
      </w:r>
      <w:r>
        <w:rPr>
          <w:color w:val="000000"/>
          <w:rFonts w:ascii="Arial" w:eastAsia="Arial" w:hAnsi="Arial" w:cs="Arial"/>
          <w:sz w:val="23"/>
          <w:szCs w:val="23"/>
        </w:rPr>
        <w:t xml:space="preserve"> or attention-weighted post-hoc analysis to offer human-readable justifications for detected anomalies, as supported by the comparative analysis in (Paper: 36).</w:t>
      </w:r>
    </w:p>
    <w:p w:rsidR="00A77427" w:rsidRDefault="007F1D13">
      <w:pPr>
        <w:ind/>
      </w:pPr>
      <w:r>
        <w:rPr>
          <w:color w:val="000000"/>
          <w:rFonts w:ascii="Arial" w:eastAsia="Arial" w:hAnsi="Arial" w:cs="Arial"/>
          <w:sz w:val="23"/>
          <w:szCs w:val="23"/>
        </w:rPr>
        <w:t xml:space="preserve">The review does not sufficiently address the </w:t>
      </w:r>
      <w:r>
        <w:rPr>
          <w:color w:val="000000"/>
          <w:b/>
          <w:bCs/>
          <w:rFonts w:ascii="Arial" w:eastAsia="Arial" w:hAnsi="Arial" w:cs="Arial"/>
          <w:sz w:val="23"/>
          <w:szCs w:val="23"/>
        </w:rPr>
        <w:t>methodological constraint</w:t>
      </w:r>
      <w:r>
        <w:rPr>
          <w:color w:val="000000"/>
          <w:rFonts w:ascii="Arial" w:eastAsia="Arial" w:hAnsi="Arial" w:cs="Arial"/>
          <w:sz w:val="23"/>
          <w:szCs w:val="23"/>
        </w:rPr>
        <w:t xml:space="preserve"> of </w:t>
      </w:r>
      <w:r>
        <w:rPr>
          <w:color w:val="000000"/>
          <w:b/>
          <w:bCs/>
          <w:rFonts w:ascii="Arial" w:eastAsia="Arial" w:hAnsi="Arial" w:cs="Arial"/>
          <w:sz w:val="23"/>
          <w:szCs w:val="23"/>
        </w:rPr>
        <w:t>data imbalance</w:t>
      </w:r>
      <w:r>
        <w:rPr>
          <w:color w:val="000000"/>
          <w:rFonts w:ascii="Arial" w:eastAsia="Arial" w:hAnsi="Arial" w:cs="Arial"/>
          <w:sz w:val="23"/>
          <w:szCs w:val="23"/>
        </w:rPr>
        <w:t>, particularly how it hinders the detection of ‘long-tail’ or zero-day anomalies, which are vital for real-world ITS deployment.</w:t>
      </w:r>
    </w:p>
    <w:p w:rsidR="00A77427" w:rsidRDefault="007F1D13">
      <w:pPr>
        <w:ind/>
      </w:pPr>
      <w:r>
        <w:rPr>
          <w:color w:val="000000"/>
          <w:b/>
          <w:bCs/>
          <w:rFonts w:ascii="Arial" w:eastAsia="Arial" w:hAnsi="Arial" w:cs="Arial"/>
          <w:sz w:val="23"/>
          <w:szCs w:val="23"/>
        </w:rPr>
        <w:t>Recommendation</w:t>
      </w:r>
    </w:p>
    <w:p w:rsidR="00A77427" w:rsidRDefault="007F1D13">
      <w:pPr>
        <w:ind/>
      </w:pPr>
      <w:r>
        <w:rPr>
          <w:color w:val="000000"/>
          <w:rFonts w:ascii="Arial" w:eastAsia="Arial" w:hAnsi="Arial" w:cs="Arial"/>
          <w:sz w:val="23"/>
          <w:szCs w:val="23"/>
        </w:rPr>
        <w:t xml:space="preserve">Include a dedicated discussion on the efficacy of </w:t>
      </w:r>
      <w:r>
        <w:rPr>
          <w:color w:val="000000"/>
          <w:b/>
          <w:bCs/>
          <w:rFonts w:ascii="Arial" w:eastAsia="Arial" w:hAnsi="Arial" w:cs="Arial"/>
          <w:sz w:val="23"/>
          <w:szCs w:val="23"/>
        </w:rPr>
        <w:t>hybrid resampling strategies</w:t>
      </w:r>
      <w:r>
        <w:rPr>
          <w:color w:val="000000"/>
          <w:rFonts w:ascii="Arial" w:eastAsia="Arial" w:hAnsi="Arial" w:cs="Arial"/>
          <w:sz w:val="23"/>
          <w:szCs w:val="23"/>
        </w:rPr>
        <w:t>—such as combining Random Undersampling (RUS) and the Synthetic Minority Over-sampling Technique (SMOTE)—to address class imbalance, citing empirical evidence from (Paper: 19).</w:t>
      </w:r>
    </w:p>
    <w:p w:rsidR="00A77427" w:rsidRDefault="007F1D13">
      <w:pPr>
        <w:ind/>
      </w:pPr>
      <w:r>
        <w:rPr>
          <w:color w:val="000000"/>
          <w:rFonts w:ascii="Arial" w:eastAsia="Arial" w:hAnsi="Arial" w:cs="Arial"/>
          <w:sz w:val="23"/>
          <w:szCs w:val="23"/>
        </w:rPr>
        <w:t xml:space="preserve">Recommend that future research evaluate </w:t>
      </w:r>
      <w:r>
        <w:rPr>
          <w:color w:val="000000"/>
          <w:b/>
          <w:bCs/>
          <w:rFonts w:ascii="Arial" w:eastAsia="Arial" w:hAnsi="Arial" w:cs="Arial"/>
          <w:sz w:val="23"/>
          <w:szCs w:val="23"/>
        </w:rPr>
        <w:t>model robustness</w:t>
      </w:r>
      <w:r>
        <w:rPr>
          <w:color w:val="000000"/>
          <w:rFonts w:ascii="Arial" w:eastAsia="Arial" w:hAnsi="Arial" w:cs="Arial"/>
          <w:sz w:val="23"/>
          <w:szCs w:val="23"/>
        </w:rPr>
        <w:t xml:space="preserve"> specifically against non-ideal conditions like </w:t>
      </w:r>
      <w:r>
        <w:rPr>
          <w:color w:val="000000"/>
          <w:b/>
          <w:bCs/>
          <w:rFonts w:ascii="Arial" w:eastAsia="Arial" w:hAnsi="Arial" w:cs="Arial"/>
          <w:sz w:val="23"/>
          <w:szCs w:val="23"/>
        </w:rPr>
        <w:t>sensor faults</w:t>
      </w:r>
      <w:r>
        <w:rPr>
          <w:color w:val="000000"/>
          <w:rFonts w:ascii="Arial" w:eastAsia="Arial" w:hAnsi="Arial" w:cs="Arial"/>
          <w:sz w:val="23"/>
          <w:szCs w:val="23"/>
        </w:rPr>
        <w:t xml:space="preserve"> and </w:t>
      </w:r>
      <w:r>
        <w:rPr>
          <w:color w:val="000000"/>
          <w:b/>
          <w:bCs/>
          <w:rFonts w:ascii="Arial" w:eastAsia="Arial" w:hAnsi="Arial" w:cs="Arial"/>
          <w:sz w:val="23"/>
          <w:szCs w:val="23"/>
        </w:rPr>
        <w:t>missing data</w:t>
      </w:r>
      <w:r>
        <w:rPr>
          <w:color w:val="000000"/>
          <w:rFonts w:ascii="Arial" w:eastAsia="Arial" w:hAnsi="Arial" w:cs="Arial"/>
          <w:sz w:val="23"/>
          <w:szCs w:val="23"/>
        </w:rPr>
        <w:t>, which remains a core limitation for moving from simulations to live traffic monitoring as discussed in (Paper: 4).</w:t>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2026-10-06T21:05:23Z</dcterms:created>
  <dcterms:modified xsi:type="dcterms:W3CDTF">2026-10-06T21:05:23Z</dcterms:modified>
</cp:coreProperties>
</file>