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Matriz</w:t>
      </w:r>
      <w:r>
        <w:t xml:space="preserve"> </w:t>
      </w:r>
      <w:r>
        <w:t xml:space="preserve">de</w:t>
      </w:r>
      <w:r>
        <w:t xml:space="preserve"> </w:t>
      </w:r>
      <w:r>
        <w:t xml:space="preserve">respuesta</w:t>
      </w:r>
      <w:r>
        <w:t xml:space="preserve"> </w:t>
      </w:r>
      <w:r>
        <w:t xml:space="preserve">al</w:t>
      </w:r>
      <w:r>
        <w:t xml:space="preserve"> </w:t>
      </w:r>
      <w:r>
        <w:t xml:space="preserve">reporte</w:t>
      </w:r>
      <w:r>
        <w:t xml:space="preserve"> </w:t>
      </w:r>
      <w:r>
        <w:t xml:space="preserve">de</w:t>
      </w:r>
      <w:r>
        <w:t xml:space="preserve"> </w:t>
      </w:r>
      <w:r>
        <w:t xml:space="preserve">revisión</w:t>
      </w:r>
    </w:p>
    <w:p>
      <w:pPr>
        <w:pStyle w:val="Subtitle"/>
      </w:pPr>
      <w:r>
        <w:t xml:space="preserve">Manuscrito:</w:t>
      </w:r>
      <w:r>
        <w:t xml:space="preserve"> </w:t>
      </w:r>
      <w:r>
        <w:t xml:space="preserve">Detección</w:t>
      </w:r>
      <w:r>
        <w:t xml:space="preserve"> </w:t>
      </w:r>
      <w:r>
        <w:t xml:space="preserve">de</w:t>
      </w:r>
      <w:r>
        <w:t xml:space="preserve"> </w:t>
      </w:r>
      <w:r>
        <w:t xml:space="preserve">anomalías</w:t>
      </w:r>
      <w:r>
        <w:t xml:space="preserve"> </w:t>
      </w:r>
      <w:r>
        <w:t xml:space="preserve">en</w:t>
      </w:r>
      <w:r>
        <w:t xml:space="preserve"> </w:t>
      </w:r>
      <w:r>
        <w:t xml:space="preserve">tráfico</w:t>
      </w:r>
      <w:r>
        <w:t xml:space="preserve"> </w:t>
      </w:r>
      <w:r>
        <w:t xml:space="preserve">vehicular</w:t>
      </w:r>
      <w:r>
        <w:t xml:space="preserve"> </w:t>
      </w:r>
      <w:r>
        <w:t xml:space="preserve">mediante</w:t>
      </w:r>
      <w:r>
        <w:t xml:space="preserve"> </w:t>
      </w:r>
      <w:r>
        <w:t xml:space="preserve">Deep</w:t>
      </w:r>
      <w:r>
        <w:t xml:space="preserve"> </w:t>
      </w:r>
      <w:r>
        <w:t xml:space="preserve">Learning</w:t>
      </w:r>
      <w:r>
        <w:t xml:space="preserve"> </w:t>
      </w:r>
      <w:r>
        <w:t xml:space="preserve">(versión</w:t>
      </w:r>
      <w:r>
        <w:t xml:space="preserve"> </w:t>
      </w:r>
      <w:r>
        <w:t xml:space="preserve">2)</w:t>
      </w:r>
    </w:p>
    <w:p>
      <w:pPr>
        <w:pStyle w:val="FirstParagraph"/>
      </w:pPr>
      <w:r>
        <w:rPr>
          <w:bCs/>
          <w:b/>
        </w:rPr>
        <w:t xml:space="preserve">Versión revisada:</w:t>
      </w:r>
      <w:r>
        <w:t xml:space="preserve"> </w:t>
      </w:r>
      <w:r>
        <w:rPr>
          <w:rStyle w:val="VerbatimChar"/>
        </w:rPr>
        <w:t xml:space="preserve">RSL/manuscrito/RSL_v2.tex</w:t>
      </w:r>
      <w:r>
        <w:t xml:space="preserve"> </w:t>
      </w:r>
      <w:r>
        <w:t xml:space="preserve">(PDF:</w:t>
      </w:r>
      <w:r>
        <w:t xml:space="preserve"> </w:t>
      </w:r>
      <w:r>
        <w:rPr>
          <w:rStyle w:val="VerbatimChar"/>
        </w:rPr>
        <w:t xml:space="preserve">RSL/manuscrito/RSL_v2.pdf</w:t>
      </w:r>
      <w:r>
        <w:t xml:space="preserve">).</w:t>
      </w:r>
      <w:r>
        <w:t xml:space="preserve"> </w:t>
      </w:r>
      <w:r>
        <w:rPr>
          <w:bCs/>
          <w:b/>
        </w:rPr>
        <w:t xml:space="preserve">Material suplementario:</w:t>
      </w:r>
      <w:r>
        <w:t xml:space="preserve"> </w:t>
      </w:r>
      <w:r>
        <w:rPr>
          <w:rStyle w:val="VerbatimChar"/>
        </w:rPr>
        <w:t xml:space="preserve">RSL/suplementos/</w:t>
      </w:r>
      <w:r>
        <w:t xml:space="preserve"> </w:t>
      </w:r>
      <w:r>
        <w:t xml:space="preserve">(matriz de extracción, evaluación de calidad por ítem, cadenas de búsqueda y scripts).</w:t>
      </w:r>
    </w:p>
    <w:p>
      <w:pPr>
        <w:pStyle w:val="BodyText"/>
      </w:pPr>
      <w:r>
        <w:t xml:space="preserve">Todas las cifras del resumen, el texto y las tablas se generan con</w:t>
      </w:r>
      <w:r>
        <w:t xml:space="preserve"> </w:t>
      </w:r>
      <w:r>
        <w:rPr>
          <w:rStyle w:val="VerbatimChar"/>
        </w:rPr>
        <w:t xml:space="preserve">python3 RSL/suplementos/generar_conteos.py</w:t>
      </w:r>
      <w:r>
        <w:t xml:space="preserve"> </w:t>
      </w:r>
      <w:r>
        <w:t xml:space="preserve">a partir de la matriz de extracción. Ninguna se escribe a mano. Los datos que solo los autores pueden aportar (fechas de búsqueda, conteos por base, kappa, registro OSF) aparecen en rojo en el PDF y se centralizan en</w:t>
      </w:r>
      <w:r>
        <w:t xml:space="preserve"> </w:t>
      </w:r>
      <w:r>
        <w:rPr>
          <w:rStyle w:val="VerbatimChar"/>
        </w:rPr>
        <w:t xml:space="preserve">RSL/manuscrito/datos_busqueda.tex</w:t>
      </w:r>
      <w:r>
        <w:t xml:space="preserve">.</w:t>
      </w:r>
    </w:p>
    <w:bookmarkStart w:id="20" w:name="cambio-en-el-corpus"/>
    <w:p>
      <w:pPr>
        <w:pStyle w:val="Heading2"/>
      </w:pPr>
      <w:r>
        <w:t xml:space="preserve">Cambio en el corpus</w:t>
      </w:r>
    </w:p>
    <w:p>
      <w:pPr>
        <w:pStyle w:val="FirstParagraph"/>
      </w:pPr>
      <w:r>
        <w:t xml:space="preserve">La versión 1 tenía 25 estudios; la versión 2 tiene</w:t>
      </w:r>
      <w:r>
        <w:t xml:space="preserve"> </w:t>
      </w:r>
      <w:r>
        <w:rPr>
          <w:bCs/>
          <w:b/>
        </w:rPr>
        <w:t xml:space="preserve">21</w:t>
      </w:r>
      <w:r>
        <w:t xml:space="preserve">. Al aplicar los criterios de forma uniforme se excluyeron cinco estudios y no se añadió ninguno: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Giasemis y Sopasakis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Preprint de arXiv. La v1 lo incluía como excepción ad hoc.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Taheri Sarteshnizi et al. 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método propuesto (Si-TDD) no es DL. Se usa en la discusión como evidencia externa.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Nouri e Ilbeigi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detección solo se evalúa de forma cualitativa.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Feng et al. 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evalúa reconocimiento de acciones en Kinetics, no la detección.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Choudhary y Hassani (2024), estaba en Parsif.al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evalúa el pronóstico (RMSE).</w:t>
            </w:r>
          </w:p>
        </w:tc>
      </w:tr>
    </w:tbl>
    <w:p>
      <w:pPr>
        <w:pStyle w:val="BodyText"/>
      </w:pPr>
      <w:r>
        <w:t xml:space="preserve">Los identificadores cambian de E01–E25 a S01–S21, ordenados por año y autor. La correspondencia está en el Anexo B (columna «ID v1»).</w:t>
      </w:r>
    </w:p>
    <w:bookmarkEnd w:id="20"/>
    <w:bookmarkStart w:id="21" w:name="respuesta-por-observación"/>
    <w:p>
      <w:pPr>
        <w:pStyle w:val="Heading2"/>
      </w:pPr>
      <w:r>
        <w:t xml:space="preserve">Respuesta por observación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hizo y por 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 en la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discuten revisiones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buscaron y verificaron 11 revisiones (2019–2025), incluidas las 5 sugeridas. Tres de ellas se publicaron después en revista: Darban et al. en</w:t>
            </w:r>
            <w:r>
              <w:t xml:space="preserve"> </w:t>
            </w:r>
            <w:r>
              <w:rPr>
                <w:iCs/>
                <w:i/>
              </w:rPr>
              <w:t xml:space="preserve">ACM Comput. Surv.</w:t>
            </w:r>
            <w:r>
              <w:t xml:space="preserve"> </w:t>
            </w:r>
            <w:r>
              <w:t xml:space="preserve">2024, Razi et al. en</w:t>
            </w:r>
            <w:r>
              <w:t xml:space="preserve"> </w:t>
            </w:r>
            <w:r>
              <w:rPr>
                <w:iCs/>
                <w:i/>
              </w:rPr>
              <w:t xml:space="preserve">IET ITS</w:t>
            </w:r>
            <w:r>
              <w:t xml:space="preserve"> </w:t>
            </w:r>
            <w:r>
              <w:t xml:space="preserve">2023 y Fang et al. en</w:t>
            </w:r>
            <w:r>
              <w:t xml:space="preserve"> </w:t>
            </w:r>
            <w:r>
              <w:rPr>
                <w:iCs/>
                <w:i/>
              </w:rPr>
              <w:t xml:space="preserve">IEEE TCSVT</w:t>
            </w:r>
            <w:r>
              <w:t xml:space="preserve"> </w:t>
            </w:r>
            <w:r>
              <w:t xml:space="preserve">2024. Se añadió una tabla con el vacío que deja cada una y se redactó la diferencia de esta RSL: es sistemática, integra sensores, trayectorias y video, y analiza etiquetas y protocolo. Estas revisiones se retoman en la discusión.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§1.1, Tabla 1; §5.1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suplementos/revisiones_previas.json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Síntesis no trazable; la Tabla 6 contradice el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construyó la matriz estudio × variable (21 filas) verificada contra cada PDF. Todos los conteos, porcentajes y tablas se generan con un script. Se eliminó la columna RQ de la Tabla 6. La media de calidad ya no es 5.74 ni 5.76: con el nuevo instrumento es 4.38/8.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§4; todas las tablas</w:t>
            </w:r>
            <w:r>
              <w:t xml:space="preserve"> </w:t>
            </w:r>
            <w:r>
              <w:rPr>
                <w:rStyle w:val="VerbatimChar"/>
              </w:rPr>
              <w:t xml:space="preserve">generado/*.tex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generar_conteos.py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matriz_extraccion.xlsx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Estudios de fuentes no buscadas; preprint pese a CE-5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añadió IEEE Xplore como base, lo que cubre E11 y E15. Se adoptó una regla general para preprints (CE-5), por la que E23 queda excluido. E17 se corrige a AAMAS 2023, pp. 1125–1134. E25 se corrige a</w:t>
            </w:r>
            <w:r>
              <w:t xml:space="preserve"> </w:t>
            </w:r>
            <w:r>
              <w:rPr>
                <w:iCs/>
                <w:i/>
              </w:rPr>
              <w:t xml:space="preserve">Computers, Materials &amp; Continua</w:t>
            </w:r>
            <w:r>
              <w:t xml:space="preserve"> </w:t>
            </w:r>
            <w:r>
              <w:t xml:space="preserve">79(3), 5051–5066. Los dos estudios que la cadena v2 no recupera (S03 y S14 no mencionan DL en su resumen) se declaran en la rama «otros métodos» del PRISMA 2020. La columna «Fuente» pasa a ser «Base de recuperación».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§3.3, §3.4, Fig. 1, Anexo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prueba_sensibilidad_cadena.py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alcance no coincide con el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 (ruta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amplió explícitamente el alcance a video y autopistas. Cambian el título, RQ1, el PICOC, la cadena (se quita el bloque «time series» y se añaden términos de video, autopista y vehículo) y CI-4. Se añadió una tabla de alineamiento y se retiró la nota al pie sobre PeMS-D4.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Título; §1; Tablas 2–3;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CQI repite la elegibilidad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instrumento de 8 ítems adaptado de Kitchenham y REFORMS: etiquetas, partición sin fuga, líneas base, variabilidad, código y datos, más de un escenario, protocolo y limitaciones. Se reporta por ítem y por estudio con su evidencia. No se usa para excluir. Se usa en un análisis de sensibilidad con los estudios de calidad ≥ 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§3.7, Tabla 7; §4.3, Tabla 9; §4.9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 «Calidad» del 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declaran los revisores, el kappa ni los motivos de exclusión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 en 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revisión es de</w:t>
            </w:r>
            <w:r>
              <w:t xml:space="preserve"> </w:t>
            </w:r>
            <w:r>
              <w:rPr>
                <w:bCs/>
                <w:b/>
              </w:rPr>
              <w:t xml:space="preserve">autor único</w:t>
            </w:r>
            <w:r>
              <w:t xml:space="preserve">, así que no hay un segundo revisor. Se declara explícitamente y se mitiga de tres formas: (1) un asistente de cribado por reglas transparentes, que solo propone exclusiones objetivas verificadas por el autor, y cuyo acuerdo con el autor se reporta; (2) cada exclusión a texto completo lleva la cita del artículo; (3) un re-cribado ciego de una muestra aleatoria, al menos 7 días después, con su kappa intra-revisor. El PRISMA incluye los motivos de exclusión por criterio. Se añade como amenaza a la validez.</w:t>
            </w:r>
            <w:r>
              <w:t xml:space="preserve"> </w:t>
            </w:r>
            <w:r>
              <w:rPr>
                <w:bCs/>
                <w:b/>
              </w:rPr>
              <w:t xml:space="preserve">Las cifras dependen del cribado</w:t>
            </w:r>
            <w:r>
              <w:t xml:space="preserve"> </w:t>
            </w:r>
            <w:r>
              <w:t xml:space="preserve">(pendiente del autor).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§3.5; §5.4; Fig.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cribado/</w:t>
            </w:r>
            <w:r>
              <w:t xml:space="preserve"> </w:t>
            </w:r>
            <w:r>
              <w:t xml:space="preserve">(scripts, manual, hojas de decisión)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no 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cadenas van en verbatim, con campos y filtros por base. Se justifica la incorporación de IEEE Xplore y el retiro de MDPI y T&amp;F: son editoriales y sus revistas están indexadas en Scopus y WoS. Se usa TITLE-ABS-KEY en Scopus. La cadena se validó con un conjunto de control: recupera 19 de 21 estudios.</w:t>
            </w:r>
            <w:r>
              <w:t xml:space="preserve"> </w:t>
            </w:r>
            <w:r>
              <w:rPr>
                <w:bCs/>
                <w:b/>
              </w:rPr>
              <w:t xml:space="preserve">La fecha y los conteos dependen de la re-ejecución.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§3.3, Tabla 4; Anexo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cadenas_busqueda.txt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comparación del PICOC no tiene 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 del PICOC se convierte en RQ6 (líneas base y ventaja reportada), con su columna en la extracción y una tabla de resultados.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2; §4.9, Tabla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Matriz:</w:t>
            </w:r>
            <w:r>
              <w:t xml:space="preserve"> </w:t>
            </w:r>
            <w:r>
              <w:rPr>
                <w:rStyle w:val="VerbatimChar"/>
              </w:rPr>
              <w:t xml:space="preserve">baselines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ventaja_vs_mejor_baseline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Síntesis solo por conteos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añadió una tabla de características (21 estudios) y cruces de tipo de dato × familia, anomalía × familia y periodo × familia. La tendencia temporal ahora se apoya en el cruce: ningún estudio usa Transformers en 2020–2021, frente a 8 de 11 en 2024–2026. Se eliminó el Cuadro 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§4.2, §4.4, §4.6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 8, 11, 12 y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RQ2 solo enumera 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RQ2 se reformuló para incluir el protocolo. Se extrajeron, por estudio, la procedencia de las etiquetas, la tasa de anomalías, la unidad de evaluación, el umbral y la partición. Se cuenta PR-AUC (2 estudios) y se comparan los resultados en datasets compartidos (PeMS, NYC taxi).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§4.5, Tablas 13–15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Matriz: columnas de protocolo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discusión no contrasta con otra evidencia y las amenazas son incompletas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discusión contrasta los hallazgos con las revisiones previas y con Taheri Sarteshnizi et al. Las amenazas se reescribieron: cadena sin validación externa, estudios solo recuperables a texto completo, aplicación no uniforme de criterios en la v1 y errores corregidos en las fichas. Se matizó la «madurez técnica».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Inclusiones límite sin justificar (E07, E02)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CI-5 y CI-6 se precisaron con una cláusula para modelos híbridos y la exigencia de evaluar la detección misma. Se documenta la decisión de cada caso límite: 7 incluidos con justificación y 5 excluidos.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5; Anexo C (Tabla 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curacion.json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Referencias incompletas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referencias se rehicieron desde la primera página de cada PDF. Todas llevan DOI salvo AAMAS, que no tiene DOI y lleva URL de IFAAMAS. Correcciones principales: [Lu 2024] pp. 5051–5066; [Jadhav] vol. 16 (2026), art. 1516, título «multi-head + LSTM»; [Duan] art. 33573 (el título citado es el correcto); [Ren] art. 1247; [Chakraborty] pp. 1125–1134.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referencias.bib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Restos de plantilla y autoría 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 en 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manuscrito pasa a tener</w:t>
            </w:r>
            <w:r>
              <w:t xml:space="preserve"> </w:t>
            </w:r>
            <w:r>
              <w:rPr>
                <w:bCs/>
                <w:b/>
              </w:rPr>
              <w:t xml:space="preserve">un solo autor</w:t>
            </w:r>
            <w:r>
              <w:t xml:space="preserve"> </w:t>
            </w:r>
            <w:r>
              <w:t xml:space="preserve">(W. A. Mayta Arotaype), lo que elimina la inconsistencia de nombres y afiliaciones.</w:t>
            </w:r>
            <w:r>
              <w:t xml:space="preserve"> </w:t>
            </w:r>
            <w:r>
              <w:rPr>
                <w:bCs/>
                <w:b/>
              </w:rPr>
              <w:t xml:space="preserve">Pendiente:</w:t>
            </w:r>
            <w:r>
              <w:t xml:space="preserve"> </w:t>
            </w:r>
            <w:r>
              <w:t xml:space="preserve">las fechas reales del historial del protocolo.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Portada; Tabla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Patrones de 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usa</w:t>
            </w:r>
            <w:r>
              <w:t xml:space="preserve"> </w:t>
            </w:r>
            <w:r>
              <w:rPr>
                <w:rStyle w:val="VerbatimChar"/>
              </w:rPr>
              <w:t xml:space="preserve">es-tabla</w:t>
            </w:r>
            <w:r>
              <w:t xml:space="preserve"> </w:t>
            </w:r>
            <w:r>
              <w:t xml:space="preserve">(leyendas «Tabla»), se corrigió «la presente RSL» y se eliminaron los comentarios del proceso. «Crecimiento sostenido» se reemplazó por la distribución exacta por año, indicando que 2026 es parcial. Las cadenas van en verbatim. Se retiró la Fig. 1 de fases de Kitchenham.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registro, sin lista PRISMA, sin declaración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añadió la lista PRISMA 2020 con la ubicación de cada ítem (Anexo D, Tabla 24), un espacio para el registro OSF y una declaración de uso de IA generativa. La disponibilidad de datos apunta al repositorio de la RSL.</w:t>
            </w:r>
            <w:r>
              <w:t xml:space="preserve"> </w:t>
            </w:r>
            <w:r>
              <w:rPr>
                <w:bCs/>
                <w:b/>
              </w:rPr>
              <w:t xml:space="preserve">Pendiente:</w:t>
            </w:r>
            <w:r>
              <w:t xml:space="preserve"> </w:t>
            </w:r>
            <w:r>
              <w:t xml:space="preserve">registrar el protocolo en OSF.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Declaraciones; Anexo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Xe019b174b03c019dc6b37ba7023c6c9ae80c94d"/>
    <w:p>
      <w:pPr>
        <w:pStyle w:val="Heading2"/>
      </w:pPr>
      <w:r>
        <w:t xml:space="preserve">Correcciones detectadas durante la verificación contra los PDF</w:t>
      </w:r>
    </w:p>
    <w:p>
      <w:pPr>
        <w:pStyle w:val="FirstParagraph"/>
      </w:pPr>
      <w:r>
        <w:t xml:space="preserve">Al rehacer la extracción se encontraron errores en las fichas y en la versión 1 que conviene conocer: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Fichas duplicadas:</w:t>
      </w:r>
      <w:r>
        <w:t xml:space="preserve"> </w:t>
      </w:r>
      <w:r>
        <w:t xml:space="preserve">el artículo 10 y el 12 eran el mismo estudio (Mao et al.), y lo mismo ocurría con el 15 y el 16 (Giasemis). No había fichas de Zhao et al. (Multi-Adjacent) ni de Mehrannia et al.; se elaboraron desde el PDF.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E03 (Mao) y E13 (Cai):</w:t>
      </w:r>
      <w:r>
        <w:t xml:space="preserve"> </w:t>
      </w:r>
      <w:r>
        <w:t xml:space="preserve">sí reportan métricas cuantitativas de detección. Mao las da en la Tabla 2 y Cai precision, recall y F1 en la Fig. 8 y la Tabla 1. La observación 2(e) del revisor no se sostiene para estos dos estudios, aunque las definiciones de métricas de Mao no son estándar.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Datos reclasificados:</w:t>
      </w:r>
    </w:p>
    <w:p>
      <w:pPr>
        <w:numPr>
          <w:ilvl w:val="1"/>
          <w:numId w:val="1002"/>
        </w:numPr>
        <w:pStyle w:val="Compact"/>
      </w:pPr>
      <w:r>
        <w:t xml:space="preserve">Hu et al. usa matrices OD agregadas, no GPS.</w:t>
      </w:r>
    </w:p>
    <w:p>
      <w:pPr>
        <w:numPr>
          <w:ilvl w:val="1"/>
          <w:numId w:val="1002"/>
        </w:numPr>
        <w:pStyle w:val="Compact"/>
      </w:pPr>
      <w:r>
        <w:t xml:space="preserve">En Huang et al., los resultados de casi-accidentes son sobre videos simulados.</w:t>
      </w:r>
    </w:p>
    <w:p>
      <w:pPr>
        <w:numPr>
          <w:ilvl w:val="1"/>
          <w:numId w:val="1002"/>
        </w:numPr>
        <w:pStyle w:val="Compact"/>
      </w:pPr>
      <w:r>
        <w:t xml:space="preserve">En Lu et al., el 89,3 % corresponde solo a la categoría «road accidents»; la accuracy global es 85,4 %.</w:t>
      </w:r>
    </w:p>
    <w:p>
      <w:pPr>
        <w:numPr>
          <w:ilvl w:val="1"/>
          <w:numId w:val="1002"/>
        </w:numPr>
        <w:pStyle w:val="Compact"/>
      </w:pPr>
      <w:r>
        <w:t xml:space="preserve">Choudhary y Hassani tiene DOI 10.1145/3605098.3636162, pp. 218–220.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Posibles problemas en estudios incluidos</w:t>
      </w:r>
      <w:r>
        <w:t xml:space="preserve">, registrados en la matriz (campo</w:t>
      </w:r>
      <w:r>
        <w:t xml:space="preserve"> </w:t>
      </w:r>
      <w:r>
        <w:rPr>
          <w:rStyle w:val="VerbatimChar"/>
        </w:rPr>
        <w:t xml:space="preserve">notas</w:t>
      </w:r>
      <w:r>
        <w:t xml:space="preserve">) y considerados en la calidad:</w:t>
      </w:r>
    </w:p>
    <w:p>
      <w:pPr>
        <w:numPr>
          <w:ilvl w:val="1"/>
          <w:numId w:val="1003"/>
        </w:numPr>
        <w:pStyle w:val="Compact"/>
      </w:pPr>
      <w:r>
        <w:t xml:space="preserve">AUC = 1,000 con anomalías inyectadas (Ren et al.).</w:t>
      </w:r>
    </w:p>
    <w:p>
      <w:pPr>
        <w:numPr>
          <w:ilvl w:val="1"/>
          <w:numId w:val="1003"/>
        </w:numPr>
        <w:pStyle w:val="Compact"/>
      </w:pPr>
      <w:r>
        <w:t xml:space="preserve">Fuente de los datos multimodales no identificada (Duan et al.).</w:t>
      </w:r>
    </w:p>
    <w:p>
      <w:pPr>
        <w:numPr>
          <w:ilvl w:val="1"/>
          <w:numId w:val="1003"/>
        </w:numPr>
        <w:pStyle w:val="Compact"/>
      </w:pPr>
      <w:r>
        <w:t xml:space="preserve">Inconsistencias entre texto y tablas (Fang, Jadhav, Khan, Abdallah).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respuesta al reporte de revisión</dc:title>
  <dc:creator/>
  <cp:keywords/>
  <dcterms:created xsi:type="dcterms:W3CDTF">2026-10-19T04:43:48Z</dcterms:created>
  <dcterms:modified xsi:type="dcterms:W3CDTF">2026-10-19T04:43:48Z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Manuscrito: Detección de anomalías en tráfico vehicular mediante Deep Learning (versión 2)</vt:lpwstr>
  </property>
</Properties>
</file>