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04 — Guia de Diagnóstico da JVM e Deadlock</w:t>
      </w:r>
    </w:p>
    <w:p>
      <w:pPr>
        <w:pStyle w:val="Subtitle"/>
      </w:pPr>
      <w:r>
        <w:t>Etapa 3.17.6 · roteiro fiel às evidências do laboratório</w:t>
      </w:r>
    </w:p>
    <w:p>
      <w:r>
        <w:t>Autor: Claudio Cavalcante de Almeida | Projeto JVM Labs | 21/10/2026</w:t>
      </w:r>
    </w:p>
    <w:p>
      <w:pPr>
        <w:pStyle w:val="Heading1"/>
      </w:pPr>
      <w:r>
        <w:t>1. Objetivo e premissas</w:t>
      </w:r>
    </w:p>
    <w:p>
      <w:r>
        <w:t>Reproduzir em um processo Java separado o DeadlockMonitor e interpretar os diagnósticos do JDK 21. A API Spring Boot apenas expõe o Bytecode; não deve ser usada para produzir um deadlock real no servidor.</w:t>
      </w:r>
    </w:p>
    <w:p>
      <w:r>
        <w:t>Pré-requisitos: macOS, JDK 21, pasta raiz do Projeto-jvm-labs, dois terminais. A execução bloqueada deve ser encerrada após a coleta.</w:t>
      </w:r>
    </w:p>
    <w:p>
      <w:pPr>
        <w:pStyle w:val="Heading1"/>
      </w:pPr>
      <w:r>
        <w:t>2. Dados históricos confirmados</w:t>
      </w:r>
    </w:p>
    <w:p>
      <w:r>
        <w:t>Processo do experimento: PID 93417, registrado durante a validação anterior (histórico). O PID pertenceu àquela execução; não existe garantia de que seja válido hoje.</w:t>
      </w:r>
    </w:p>
    <w:p>
      <w:r>
        <w:t>Ferramentas: javac, java, jcmd, jstack e javap. Resultado observado: Found one Java-level deadlock / Found 1 deadlock.</w:t>
      </w:r>
    </w:p>
    <w:p>
      <w:r>
        <w:t>Thread A: adquire LOCK_1, tenta LOCK_2; Thread B: adquire LOCK_2, tenta LOCK_1. A barreira CountDownLatch(2) coordena a segunda tentativa.</w:t>
      </w:r>
    </w:p>
    <w:p>
      <w:pPr>
        <w:pStyle w:val="Heading1"/>
      </w:pPr>
      <w:r>
        <w:t>3. Compilação e execução</w:t>
      </w:r>
    </w:p>
    <w:p>
      <w:r>
        <w:t>Acesse a raiz do repositório. Compile a classe específica. Execute-a no primeiro terminal e mantenha a sessão aberta para capturar o bloqueio.</w:t>
      </w:r>
    </w:p>
    <w:p>
      <w:pPr>
        <w:ind w:left="340"/>
      </w:pPr>
      <w:r>
        <w:rPr>
          <w:rFonts w:ascii="Consolas" w:hAnsi="Consolas"/>
          <w:color w:val="0F4C50"/>
          <w:sz w:val="16"/>
        </w:rPr>
        <w:t>javac modulo-03-bytecode/etapa-3.17.6/DeadlockMonitor.java</w:t>
      </w:r>
    </w:p>
    <w:p>
      <w:pPr>
        <w:ind w:left="340"/>
      </w:pPr>
      <w:r>
        <w:rPr>
          <w:rFonts w:ascii="Consolas" w:hAnsi="Consolas"/>
          <w:color w:val="0F4C50"/>
          <w:sz w:val="16"/>
        </w:rPr>
        <w:t>java -cp modulo-03-bytecode/etapa-3.17.6 DeadlockMonitor</w:t>
      </w:r>
    </w:p>
    <w:p>
      <w:pPr>
        <w:pStyle w:val="Heading1"/>
      </w:pPr>
      <w:r>
        <w:t>4. Identificar o PID real</w:t>
      </w:r>
    </w:p>
    <w:p>
      <w:r>
        <w:t>No segundo terminal, execute jcmd -l e identifique a linha relativa ao DeadlockMonitor. Use o PID obtido nessa listagem. O número 93417 serve apenas como exemplo documentado.</w:t>
      </w:r>
    </w:p>
    <w:p>
      <w:pPr>
        <w:ind w:left="340"/>
      </w:pPr>
      <w:r>
        <w:rPr>
          <w:rFonts w:ascii="Consolas" w:hAnsi="Consolas"/>
          <w:color w:val="0F4C50"/>
          <w:sz w:val="16"/>
        </w:rPr>
        <w:t>jcmd -l  # Procure DeadlockMonitor; exemplo registrado: 93417</w:t>
      </w:r>
    </w:p>
    <w:p>
      <w:pPr>
        <w:pStyle w:val="Heading1"/>
      </w:pPr>
      <w:r>
        <w:t>5. Capturar e interpretar as threads</w:t>
      </w:r>
    </w:p>
    <w:p>
      <w:r>
        <w:t>Use jcmd Thread.print -l e jstack -l. No histórico, ambas as ferramentas identificaram espera circular por monitores. Inspecione se cada thread segura um monitor exigido pela outra.</w:t>
      </w:r>
    </w:p>
    <w:p>
      <w:pPr>
        <w:ind w:left="340"/>
      </w:pPr>
      <w:r>
        <w:rPr>
          <w:rFonts w:ascii="Consolas" w:hAnsi="Consolas"/>
          <w:color w:val="0F4C50"/>
          <w:sz w:val="16"/>
        </w:rPr>
        <w:t>jcmd 93417 Thread.print -l  # SOMENTE EXEMPLO HISTÓRICO</w:t>
      </w:r>
    </w:p>
    <w:p>
      <w:pPr>
        <w:ind w:left="340"/>
      </w:pPr>
      <w:r>
        <w:rPr>
          <w:rFonts w:ascii="Consolas" w:hAnsi="Consolas"/>
          <w:color w:val="0F4C50"/>
          <w:sz w:val="16"/>
        </w:rPr>
        <w:t>jstack -l 93417              # Substitua pelo PID real</w:t>
      </w:r>
    </w:p>
    <w:p>
      <w:pPr>
        <w:pStyle w:val="Heading1"/>
      </w:pPr>
      <w:r>
        <w:t>6. Inspecionar Bytecode com javap</w:t>
      </w:r>
    </w:p>
    <w:p>
      <w:r>
        <w:t>O comando javap -c -p apresenta os métodos privados e o fluxo de instruções. Nos dois métodos do experimento, o primeiro monitorenter aparece no offset 5 e o segundo no 36. Opcode de monitorenter: 0xC2.</w:t>
      </w:r>
    </w:p>
    <w:p>
      <w:r>
        <w:t>Os monitorexit associados aparecem em caminhos de liberação e tratamento de exceção, mas não são alcançados enquanto ambas as threads permanecem bloqueadas na segunda aquisição.</w:t>
      </w:r>
    </w:p>
    <w:p>
      <w:pPr>
        <w:ind w:left="340"/>
      </w:pPr>
      <w:r>
        <w:rPr>
          <w:rFonts w:ascii="Consolas" w:hAnsi="Consolas"/>
          <w:color w:val="0F4C50"/>
          <w:sz w:val="16"/>
        </w:rPr>
        <w:t>javap -c -p modulo-03-bytecode/etapa-3.17.6/DeadlockMonitor.class</w:t>
      </w:r>
    </w:p>
    <w:p>
      <w:pPr>
        <w:pStyle w:val="Heading1"/>
      </w:pPr>
      <w:r>
        <w:t>7. Consultar API e interface</w:t>
      </w:r>
    </w:p>
    <w:p>
      <w:r>
        <w:t>Com o Spring Boot iniciado, GET /api/bytecode/deadlock respondeu HTTP 200. O endpoint disponibiliza os métodos executarThreadA e executarThreadB e instruções estruturadas.</w:t>
      </w:r>
    </w:p>
    <w:p>
      <w:r>
        <w:t>Na interface /bytecode.html, selecionar Deadlock e avançar até Passo 17/17 em Thread A e Thread B. É uma visualização didática, não um dump de execução do processo Java.</w:t>
      </w:r>
    </w:p>
    <w:p>
      <w:pPr>
        <w:ind w:left="340"/>
      </w:pPr>
      <w:r>
        <w:rPr>
          <w:rFonts w:ascii="Consolas" w:hAnsi="Consolas"/>
          <w:color w:val="0F4C50"/>
          <w:sz w:val="16"/>
        </w:rPr>
        <w:t>curl -sS http://localhost:8080/api/bytecode/deadlock | python3 -m json.tool</w:t>
      </w:r>
    </w:p>
    <w:p>
      <w:pPr>
        <w:pStyle w:val="Heading1"/>
      </w:pPr>
      <w:r>
        <w:t>8. Encerramento do processo</w:t>
      </w:r>
    </w:p>
    <w:p>
      <w:r>
        <w:t>Depois de capturar a evidência, encerre com Ctrl+C no terminal do processo. Se a execução não encerrar, use kill apenas com o PID atual previamente conferido. Não reutilize cegamente o PID histórico 93417.</w:t>
      </w:r>
    </w:p>
    <w:p>
      <w:pPr>
        <w:pStyle w:val="Heading1"/>
      </w:pPr>
      <w:r>
        <w:t>9. Evidência e limites</w:t>
      </w:r>
    </w:p>
    <w:p>
      <w:r>
        <w:t>Evidências históricas registradas: diagnostico-deadlock-93417.txt, diagnostico-jstack-93417.txt, bytecode-deadlock-3176.txt. Não foram fornecidos novamente nesta revisão; nomes e resultados provêm do histórico dos testes.</w:t>
      </w:r>
    </w:p>
    <w:p>
      <w:r>
        <w:t>Resultados HTTP 200 e visual 17/17 foram confirmados; isso não demonstra a execução de um novo deadlock dentro do serviço HTTP.</w:t>
      </w:r>
    </w:p>
    <w:sectPr w:rsidR="00FC693F" w:rsidRPr="0006063C" w:rsidSect="00034616">
      <w:footerReference w:type="default" r:id="rId9"/>
      <w:pgSz w:w="12240" w:h="15840"/>
      <w:pgMar w:top="1134" w:right="1800" w:bottom="102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Projeto JVM Labs · Documentação autoral ·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Century Gothic" w:hAnsi="Century Gothic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entury Gothic" w:hAnsi="Century Gothic"/>
      <w:b/>
      <w:bCs/>
      <w:color w:val="154169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entury Gothic" w:hAnsi="Century Gothic"/>
      <w:b/>
      <w:bCs/>
      <w:color w:val="154169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entury Gothic" w:hAnsi="Century Gothic"/>
      <w:color w:val="154169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