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COPIA INTERNA / PÁGINA 1</w:t>
      </w:r>
    </w:p>
    <w:p>
      <w:r>
        <w:t>Mantenimiento de la bomba de recirculación</w:t>
      </w:r>
    </w:p>
    <w:p>
      <w:r>
        <w:t>Material ficticio para pruebas de software. No describe normas ni productos reales.</w:t>
      </w:r>
    </w:p>
    <w:p>
      <w:r>
        <w:t>ANEXO - CONTROL / Las etiquetas internas se revisan cada 8 días.</w:t>
      </w:r>
    </w:p>
    <w:p>
      <w:r>
        <w:t>COPIA INTERNA / PÁGINA 1</w:t>
      </w:r>
    </w:p>
    <w:p>
      <w:r>
        <w:t>Antes de cambiar el filtro de la bomba de recirculación, se debe desconectar la alimentación eléctrica.     Referencia: archivo interno.</w:t>
      </w:r>
    </w:p>
    <w:p>
      <w:r>
        <w:t>----- continuación -----</w:t>
      </w:r>
    </w:p>
    <w:p>
      <w:r>
        <w:t>El filtro de la bomba de recirculación se cambia cada 45 días.</w:t>
      </w:r>
    </w:p>
    <w:p>
      <w:r>
        <w:t>COPIA INTERNA / PÁGINA 2</w:t>
      </w:r>
    </w:p>
    <w:p>
      <w:r>
        <w:t>Observaciones adicionales: el documento se</w:t>
      </w:r>
    </w:p>
    <w:p>
      <w:r>
        <w:t>FIN / COPIA INTERNA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