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0" w:line="240"/>
      </w:pPr>
      <w:r>
        <w:t xml:space="preserve"/>
      </w:r>
    </w:p>
    <w:p>
      <w:pPr>
        <w:spacing w:before="0" w:after="0" w:line="240"/>
      </w:pPr>
      <w:r>
        <w:t xml:space="preserve"/>
      </w:r>
    </w:p>
    <w:p>
      <w:pPr>
        <w:spacing w:before="0" w:after="0" w:line="240"/>
      </w:pPr>
      <w:r>
        <w:t xml:space="preserve"/>
      </w:r>
    </w:p>
    <w:p>
      <w:pPr>
        <w:spacing w:before="0" w:after="0" w:line="240"/>
      </w:pPr>
      <w:r>
        <w:t xml:space="preserve"/>
      </w:r>
    </w:p>
    <w:p>
      <w:pPr>
        <w:pBdr>
          <w:bottom w:val="single" w:color="2980B9" w:sz="6" w:space="3"/>
        </w:pBdr>
        <w:spacing w:before="0" w:after="60" w:line="240"/>
      </w:pPr>
      <w:r>
        <w:rPr>
          <w:rFonts w:ascii="Calibri Light" w:cs="Calibri Light" w:eastAsia="Calibri Light" w:hAnsi="Calibri Light"/>
          <w:color w:val="2980B9"/>
          <w:sz w:val="56"/>
          <w:szCs w:val="56"/>
        </w:rPr>
        <w:t xml:space="preserve">PE 2026</w:t>
      </w:r>
    </w:p>
    <w:p>
      <w:pPr>
        <w:spacing w:before="0" w:after="0" w:line="240"/>
      </w:pPr>
      <w:r>
        <w:t xml:space="preserve"/>
      </w:r>
    </w:p>
    <w:p>
      <w:pPr>
        <w:spacing w:before="60" w:after="80" w:line="280"/>
      </w:pPr>
      <w:r>
        <w:rPr>
          <w:rFonts w:ascii="Calibri Light" w:cs="Calibri Light" w:eastAsia="Calibri Light" w:hAnsi="Calibri Light"/>
          <w:color w:val="0C2340"/>
          <w:sz w:val="44"/>
          <w:szCs w:val="44"/>
        </w:rPr>
        <w:t xml:space="preserve">DOC 11-A.1</w:t>
      </w:r>
    </w:p>
    <w:p>
      <w:pPr>
        <w:spacing w:before="0" w:after="60" w:line="264"/>
      </w:pPr>
      <w:r>
        <w:rPr>
          <w:rFonts w:ascii="Calibri Light" w:cs="Calibri Light" w:eastAsia="Calibri Light" w:hAnsi="Calibri Light"/>
          <w:color w:val="163B5C"/>
          <w:sz w:val="32"/>
          <w:szCs w:val="32"/>
        </w:rPr>
        <w:t xml:space="preserve">Caderno Setorial RH — Direção</w:t>
      </w:r>
    </w:p>
    <w:p>
      <w:pPr>
        <w:spacing w:before="0" w:after="280" w:line="252"/>
      </w:pPr>
      <w:r>
        <w:rPr>
          <w:rFonts w:ascii="Calibri" w:cs="Calibri" w:eastAsia="Calibri" w:hAnsi="Calibri"/>
          <w:i/>
          <w:iCs/>
          <w:color w:val="64748B"/>
          <w:sz w:val="22"/>
          <w:szCs w:val="22"/>
        </w:rPr>
        <w:t xml:space="preserve">OKRs · KRs · Contratos de Resultado · Governança</w:t>
      </w:r>
    </w:p>
    <w:p>
      <w:pPr>
        <w:spacing w:before="0" w:after="0" w:line="240"/>
      </w:pPr>
      <w:r>
        <w:t xml:space="preserve"/>
      </w:r>
    </w:p>
    <w:p>
      <w:pPr>
        <w:spacing w:before="0" w:after="0" w:line="240"/>
      </w:pPr>
      <w:r>
        <w:t xml:space="preserve"/>
      </w:r>
    </w:p>
    <w:tbl>
      <w:tblPr>
        <w:tblW w:type="dxa" w:w="5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</w:tblGrid>
      <w:tr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E2E8F0" w:sz="1"/>
              <w:right w:val="none" w:color="FFFFFF" w:sz="0"/>
            </w:tcBorders>
            <w:shd w:fill="FFFFFF" w:val="clear"/>
            <w:tcMar>
              <w:top w:type="dxa" w:w="70"/>
              <w:left w:type="dxa" w:w="0"/>
              <w:bottom w:type="dxa" w:w="70"/>
              <w:right w:type="dxa" w:w="140"/>
            </w:tcMar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63B5C"/>
                <w:sz w:val="18"/>
                <w:szCs w:val="18"/>
              </w:rPr>
              <w:t xml:space="preserve">Versão</w:t>
            </w:r>
          </w:p>
        </w:tc>
        <w:tc>
          <w:tcPr>
            <w:tcW w:type="dxa" w:w="3200"/>
            <w:tcBorders>
              <w:top w:val="none" w:color="FFFFFF" w:sz="0"/>
              <w:left w:val="none" w:color="FFFFFF" w:sz="0"/>
              <w:bottom w:val="single" w:color="E2E8F0" w:sz="1"/>
              <w:right w:val="none" w:color="FFFFFF" w:sz="0"/>
            </w:tcBorders>
            <w:shd w:fill="FFFFFF" w:val="clear"/>
            <w:tcMar>
              <w:top w:type="dxa" w:w="70"/>
              <w:left w:type="dxa" w:w="0"/>
              <w:bottom w:type="dxa" w:w="70"/>
              <w:right w:type="dxa" w:w="140"/>
            </w:tcMar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8"/>
                <w:szCs w:val="18"/>
              </w:rPr>
              <w:t xml:space="preserve">2.0 — Março/2026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E2E8F0" w:sz="1"/>
              <w:right w:val="none" w:color="FFFFFF" w:sz="0"/>
            </w:tcBorders>
            <w:shd w:fill="FFFFFF" w:val="clear"/>
            <w:tcMar>
              <w:top w:type="dxa" w:w="70"/>
              <w:left w:type="dxa" w:w="0"/>
              <w:bottom w:type="dxa" w:w="70"/>
              <w:right w:type="dxa" w:w="140"/>
            </w:tcMar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63B5C"/>
                <w:sz w:val="18"/>
                <w:szCs w:val="18"/>
              </w:rPr>
              <w:t xml:space="preserve">Camada</w:t>
            </w:r>
          </w:p>
        </w:tc>
        <w:tc>
          <w:tcPr>
            <w:tcW w:type="dxa" w:w="3200"/>
            <w:tcBorders>
              <w:top w:val="none" w:color="FFFFFF" w:sz="0"/>
              <w:left w:val="none" w:color="FFFFFF" w:sz="0"/>
              <w:bottom w:val="single" w:color="E2E8F0" w:sz="1"/>
              <w:right w:val="none" w:color="FFFFFF" w:sz="0"/>
            </w:tcBorders>
            <w:shd w:fill="FFFFFF" w:val="clear"/>
            <w:tcMar>
              <w:top w:type="dxa" w:w="70"/>
              <w:left w:type="dxa" w:w="0"/>
              <w:bottom w:type="dxa" w:w="70"/>
              <w:right w:type="dxa" w:w="140"/>
            </w:tcMar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8"/>
                <w:szCs w:val="18"/>
              </w:rPr>
              <w:t xml:space="preserve">2 — MBR (Caderno Setorial — Direção)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E2E8F0" w:sz="1"/>
              <w:right w:val="none" w:color="FFFFFF" w:sz="0"/>
            </w:tcBorders>
            <w:shd w:fill="FFFFFF" w:val="clear"/>
            <w:tcMar>
              <w:top w:type="dxa" w:w="70"/>
              <w:left w:type="dxa" w:w="0"/>
              <w:bottom w:type="dxa" w:w="70"/>
              <w:right w:type="dxa" w:w="140"/>
            </w:tcMar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63B5C"/>
                <w:sz w:val="18"/>
                <w:szCs w:val="18"/>
              </w:rPr>
              <w:t xml:space="preserve">Classificação</w:t>
            </w:r>
          </w:p>
        </w:tc>
        <w:tc>
          <w:tcPr>
            <w:tcW w:type="dxa" w:w="3200"/>
            <w:tcBorders>
              <w:top w:val="none" w:color="FFFFFF" w:sz="0"/>
              <w:left w:val="none" w:color="FFFFFF" w:sz="0"/>
              <w:bottom w:val="single" w:color="E2E8F0" w:sz="1"/>
              <w:right w:val="none" w:color="FFFFFF" w:sz="0"/>
            </w:tcBorders>
            <w:shd w:fill="FFFFFF" w:val="clear"/>
            <w:tcMar>
              <w:top w:type="dxa" w:w="70"/>
              <w:left w:type="dxa" w:w="0"/>
              <w:bottom w:type="dxa" w:w="70"/>
              <w:right w:type="dxa" w:w="140"/>
            </w:tcMar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8"/>
                <w:szCs w:val="18"/>
              </w:rPr>
              <w:t xml:space="preserve">Confidencial — Uso interno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E2E8F0" w:sz="1"/>
              <w:right w:val="none" w:color="FFFFFF" w:sz="0"/>
            </w:tcBorders>
            <w:shd w:fill="FFFFFF" w:val="clear"/>
            <w:tcMar>
              <w:top w:type="dxa" w:w="70"/>
              <w:left w:type="dxa" w:w="0"/>
              <w:bottom w:type="dxa" w:w="70"/>
              <w:right w:type="dxa" w:w="140"/>
            </w:tcMar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63B5C"/>
                <w:sz w:val="18"/>
                <w:szCs w:val="18"/>
              </w:rPr>
              <w:t xml:space="preserve">Responsável</w:t>
            </w:r>
          </w:p>
        </w:tc>
        <w:tc>
          <w:tcPr>
            <w:tcW w:type="dxa" w:w="3200"/>
            <w:tcBorders>
              <w:top w:val="none" w:color="FFFFFF" w:sz="0"/>
              <w:left w:val="none" w:color="FFFFFF" w:sz="0"/>
              <w:bottom w:val="single" w:color="E2E8F0" w:sz="1"/>
              <w:right w:val="none" w:color="FFFFFF" w:sz="0"/>
            </w:tcBorders>
            <w:shd w:fill="FFFFFF" w:val="clear"/>
            <w:tcMar>
              <w:top w:type="dxa" w:w="70"/>
              <w:left w:type="dxa" w:w="0"/>
              <w:bottom w:type="dxa" w:w="70"/>
              <w:right w:type="dxa" w:w="140"/>
            </w:tcMar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8"/>
                <w:szCs w:val="18"/>
              </w:rPr>
              <w:t xml:space="preserve">Cláudio Ribeiro — Direção Executiva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E2E8F0" w:sz="1"/>
              <w:right w:val="none" w:color="FFFFFF" w:sz="0"/>
            </w:tcBorders>
            <w:shd w:fill="FFFFFF" w:val="clear"/>
            <w:tcMar>
              <w:top w:type="dxa" w:w="70"/>
              <w:left w:type="dxa" w:w="0"/>
              <w:bottom w:type="dxa" w:w="70"/>
              <w:right w:type="dxa" w:w="140"/>
            </w:tcMar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63B5C"/>
                <w:sz w:val="18"/>
                <w:szCs w:val="18"/>
              </w:rPr>
              <w:t xml:space="preserve">Base de referência</w:t>
            </w:r>
          </w:p>
        </w:tc>
        <w:tc>
          <w:tcPr>
            <w:tcW w:type="dxa" w:w="3200"/>
            <w:tcBorders>
              <w:top w:val="none" w:color="FFFFFF" w:sz="0"/>
              <w:left w:val="none" w:color="FFFFFF" w:sz="0"/>
              <w:bottom w:val="single" w:color="E2E8F0" w:sz="1"/>
              <w:right w:val="none" w:color="FFFFFF" w:sz="0"/>
            </w:tcBorders>
            <w:shd w:fill="FFFFFF" w:val="clear"/>
            <w:tcMar>
              <w:top w:type="dxa" w:w="70"/>
              <w:left w:type="dxa" w:w="0"/>
              <w:bottom w:type="dxa" w:w="70"/>
              <w:right w:type="dxa" w:w="140"/>
            </w:tcMar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8"/>
                <w:szCs w:val="18"/>
              </w:rPr>
              <w:t xml:space="preserve">DOC 11-A v2 + Pesquisa de Engajamento 2025 + PE2026 P5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E2E8F0" w:sz="1"/>
              <w:right w:val="none" w:color="FFFFFF" w:sz="0"/>
            </w:tcBorders>
            <w:shd w:fill="FFFFFF" w:val="clear"/>
            <w:tcMar>
              <w:top w:type="dxa" w:w="70"/>
              <w:left w:type="dxa" w:w="0"/>
              <w:bottom w:type="dxa" w:w="70"/>
              <w:right w:type="dxa" w:w="140"/>
            </w:tcMar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63B5C"/>
                <w:sz w:val="18"/>
                <w:szCs w:val="18"/>
              </w:rPr>
              <w:t xml:space="preserve">Lacunas endereçadas</w:t>
            </w:r>
          </w:p>
        </w:tc>
        <w:tc>
          <w:tcPr>
            <w:tcW w:type="dxa" w:w="3200"/>
            <w:tcBorders>
              <w:top w:val="none" w:color="FFFFFF" w:sz="0"/>
              <w:left w:val="none" w:color="FFFFFF" w:sz="0"/>
              <w:bottom w:val="single" w:color="E2E8F0" w:sz="1"/>
              <w:right w:val="none" w:color="FFFFFF" w:sz="0"/>
            </w:tcBorders>
            <w:shd w:fill="FFFFFF" w:val="clear"/>
            <w:tcMar>
              <w:top w:type="dxa" w:w="70"/>
              <w:left w:type="dxa" w:w="0"/>
              <w:bottom w:type="dxa" w:w="70"/>
              <w:right w:type="dxa" w:w="140"/>
            </w:tcMar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8"/>
                <w:szCs w:val="18"/>
              </w:rPr>
              <w:t xml:space="preserve">LR-06 · LR-08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980B9" w:sz="3" w:space="2"/>
        </w:pBdr>
        <w:spacing w:before="280" w:after="80" w:line="260"/>
      </w:pPr>
      <w:r>
        <w:rPr>
          <w:rFonts w:ascii="Calibri Light" w:cs="Calibri Light" w:eastAsia="Calibri Light" w:hAnsi="Calibri Light"/>
          <w:color w:val="2980B9"/>
          <w:sz w:val="30"/>
          <w:szCs w:val="30"/>
        </w:rPr>
        <w:t xml:space="preserve">  </w:t>
      </w:r>
      <w:r>
        <w:rPr>
          <w:rFonts w:ascii="Calibri Light" w:cs="Calibri Light" w:eastAsia="Calibri Light" w:hAnsi="Calibri Light"/>
          <w:color w:val="0C2340"/>
          <w:sz w:val="30"/>
          <w:szCs w:val="30"/>
        </w:rPr>
        <w:t xml:space="preserve">Sumário</w:t>
      </w:r>
    </w:p>
    <w:p>
      <w:pPr>
        <w:spacing w:before="0" w:after="0" w:line="240"/>
      </w:pPr>
      <w:r>
        <w:t xml:space="preserve"/>
      </w:r>
    </w:p>
    <w:p>
      <w:pPr>
        <w:spacing w:before="50" w:after="50" w:line="240"/>
      </w:pPr>
      <w:r>
        <w:rPr>
          <w:rFonts w:ascii="Calibri" w:cs="Calibri" w:eastAsia="Calibri" w:hAnsi="Calibri"/>
          <w:color w:val="334155"/>
          <w:sz w:val="19"/>
          <w:szCs w:val="19"/>
        </w:rPr>
        <w:t xml:space="preserve">1.   Diagnóstico aplicado — partida 2026</w:t>
      </w:r>
      <w:r>
        <w:rPr>
          <w:rFonts w:ascii="Calibri" w:cs="Calibri" w:eastAsia="Calibri" w:hAnsi="Calibri"/>
          <w:color w:val="64748B"/>
          <w:sz w:val="19"/>
          <w:szCs w:val="19"/>
        </w:rPr>
        <w:ptab w:alignment="right" w:relativeTo="margin" w:leader="dot"/>
        <w:t xml:space="preserve">3</w:t>
      </w:r>
    </w:p>
    <w:p>
      <w:pPr>
        <w:spacing w:before="50" w:after="50" w:line="240"/>
      </w:pPr>
      <w:r>
        <w:rPr>
          <w:rFonts w:ascii="Calibri" w:cs="Calibri" w:eastAsia="Calibri" w:hAnsi="Calibri"/>
          <w:color w:val="334155"/>
          <w:sz w:val="19"/>
          <w:szCs w:val="19"/>
        </w:rPr>
        <w:t xml:space="preserve">2.   Pilar institucional e vínculo PE2026</w:t>
      </w:r>
      <w:r>
        <w:rPr>
          <w:rFonts w:ascii="Calibri" w:cs="Calibri" w:eastAsia="Calibri" w:hAnsi="Calibri"/>
          <w:color w:val="64748B"/>
          <w:sz w:val="19"/>
          <w:szCs w:val="19"/>
        </w:rPr>
        <w:ptab w:alignment="right" w:relativeTo="margin" w:leader="dot"/>
        <w:t xml:space="preserve">4</w:t>
      </w:r>
    </w:p>
    <w:p>
      <w:pPr>
        <w:spacing w:before="50" w:after="50" w:line="240"/>
      </w:pPr>
      <w:r>
        <w:rPr>
          <w:rFonts w:ascii="Calibri" w:cs="Calibri" w:eastAsia="Calibri" w:hAnsi="Calibri"/>
          <w:color w:val="334155"/>
          <w:sz w:val="19"/>
          <w:szCs w:val="19"/>
        </w:rPr>
        <w:t xml:space="preserve">3.   Objetivos estratégicos do ano (O1–O5)</w:t>
      </w:r>
      <w:r>
        <w:rPr>
          <w:rFonts w:ascii="Calibri" w:cs="Calibri" w:eastAsia="Calibri" w:hAnsi="Calibri"/>
          <w:color w:val="64748B"/>
          <w:sz w:val="19"/>
          <w:szCs w:val="19"/>
        </w:rPr>
        <w:ptab w:alignment="right" w:relativeTo="margin" w:leader="dot"/>
        <w:t xml:space="preserve">4</w:t>
      </w:r>
    </w:p>
    <w:p>
      <w:pPr>
        <w:spacing w:before="50" w:after="50" w:line="240"/>
      </w:pPr>
      <w:r>
        <w:rPr>
          <w:rFonts w:ascii="Calibri" w:cs="Calibri" w:eastAsia="Calibri" w:hAnsi="Calibri"/>
          <w:color w:val="334155"/>
          <w:sz w:val="19"/>
          <w:szCs w:val="19"/>
        </w:rPr>
        <w:t xml:space="preserve">4.   Programas do RH — estrutura de execução</w:t>
      </w:r>
      <w:r>
        <w:rPr>
          <w:rFonts w:ascii="Calibri" w:cs="Calibri" w:eastAsia="Calibri" w:hAnsi="Calibri"/>
          <w:color w:val="64748B"/>
          <w:sz w:val="19"/>
          <w:szCs w:val="19"/>
        </w:rPr>
        <w:ptab w:alignment="right" w:relativeTo="margin" w:leader="dot"/>
        <w:t xml:space="preserve">5</w:t>
      </w:r>
    </w:p>
    <w:p>
      <w:pPr>
        <w:spacing w:before="50" w:after="50" w:line="240"/>
      </w:pPr>
      <w:r>
        <w:rPr>
          <w:rFonts w:ascii="Calibri" w:cs="Calibri" w:eastAsia="Calibri" w:hAnsi="Calibri"/>
          <w:color w:val="334155"/>
          <w:sz w:val="19"/>
          <w:szCs w:val="19"/>
        </w:rPr>
        <w:t xml:space="preserve">5.   Contratos de resultado — OKRs e KRs por objetivo</w:t>
      </w:r>
      <w:r>
        <w:rPr>
          <w:rFonts w:ascii="Calibri" w:cs="Calibri" w:eastAsia="Calibri" w:hAnsi="Calibri"/>
          <w:color w:val="64748B"/>
          <w:sz w:val="19"/>
          <w:szCs w:val="19"/>
        </w:rPr>
        <w:ptab w:alignment="right" w:relativeTo="margin" w:leader="dot"/>
        <w:t xml:space="preserve">6</w:t>
      </w:r>
    </w:p>
    <w:p>
      <w:pPr>
        <w:spacing w:before="50" w:after="50" w:line="240"/>
      </w:pPr>
      <w:r>
        <w:rPr>
          <w:rFonts w:ascii="Calibri" w:cs="Calibri" w:eastAsia="Calibri" w:hAnsi="Calibri"/>
          <w:color w:val="334155"/>
          <w:sz w:val="19"/>
          <w:szCs w:val="19"/>
        </w:rPr>
        <w:t xml:space="preserve">6.   Placar do MBR — KPIs de acompanhamento</w:t>
      </w:r>
      <w:r>
        <w:rPr>
          <w:rFonts w:ascii="Calibri" w:cs="Calibri" w:eastAsia="Calibri" w:hAnsi="Calibri"/>
          <w:color w:val="64748B"/>
          <w:sz w:val="19"/>
          <w:szCs w:val="19"/>
        </w:rPr>
        <w:ptab w:alignment="right" w:relativeTo="margin" w:leader="dot"/>
        <w:t xml:space="preserve">12</w:t>
      </w:r>
    </w:p>
    <w:p>
      <w:pPr>
        <w:spacing w:before="50" w:after="50" w:line="240"/>
      </w:pPr>
      <w:r>
        <w:rPr>
          <w:rFonts w:ascii="Calibri" w:cs="Calibri" w:eastAsia="Calibri" w:hAnsi="Calibri"/>
          <w:color w:val="334155"/>
          <w:sz w:val="19"/>
          <w:szCs w:val="19"/>
        </w:rPr>
        <w:t xml:space="preserve">7.   Riscos críticos e mitigações</w:t>
      </w:r>
      <w:r>
        <w:rPr>
          <w:rFonts w:ascii="Calibri" w:cs="Calibri" w:eastAsia="Calibri" w:hAnsi="Calibri"/>
          <w:color w:val="64748B"/>
          <w:sz w:val="19"/>
          <w:szCs w:val="19"/>
        </w:rPr>
        <w:ptab w:alignment="right" w:relativeTo="margin" w:leader="dot"/>
        <w:t xml:space="preserve">13</w:t>
      </w:r>
    </w:p>
    <w:p>
      <w:pPr>
        <w:spacing w:before="50" w:after="50" w:line="240"/>
      </w:pPr>
      <w:r>
        <w:rPr>
          <w:rFonts w:ascii="Calibri" w:cs="Calibri" w:eastAsia="Calibri" w:hAnsi="Calibri"/>
          <w:color w:val="334155"/>
          <w:sz w:val="19"/>
          <w:szCs w:val="19"/>
        </w:rPr>
        <w:t xml:space="preserve">8.   Cadência de governança</w:t>
      </w:r>
      <w:r>
        <w:rPr>
          <w:rFonts w:ascii="Calibri" w:cs="Calibri" w:eastAsia="Calibri" w:hAnsi="Calibri"/>
          <w:color w:val="64748B"/>
          <w:sz w:val="19"/>
          <w:szCs w:val="19"/>
        </w:rPr>
        <w:ptab w:alignment="right" w:relativeTo="margin" w:leader="dot"/>
        <w:t xml:space="preserve">13</w:t>
      </w:r>
    </w:p>
    <w:p>
      <w:pPr>
        <w:spacing w:before="50" w:after="50" w:line="240"/>
      </w:pPr>
      <w:r>
        <w:rPr>
          <w:rFonts w:ascii="Calibri" w:cs="Calibri" w:eastAsia="Calibri" w:hAnsi="Calibri"/>
          <w:color w:val="334155"/>
          <w:sz w:val="19"/>
          <w:szCs w:val="19"/>
        </w:rPr>
        <w:t xml:space="preserve">9.   Glossário</w:t>
      </w:r>
      <w:r>
        <w:rPr>
          <w:rFonts w:ascii="Calibri" w:cs="Calibri" w:eastAsia="Calibri" w:hAnsi="Calibri"/>
          <w:color w:val="64748B"/>
          <w:sz w:val="19"/>
          <w:szCs w:val="19"/>
        </w:rPr>
        <w:ptab w:alignment="right" w:relativeTo="margin" w:leader="dot"/>
        <w:t xml:space="preserve">14</w:t>
      </w:r>
    </w:p>
    <w:p>
      <w:r>
        <w:br w:type="page"/>
      </w:r>
    </w:p>
    <w:p>
      <w:pPr>
        <w:pStyle w:val="Heading1"/>
        <w:pBdr>
          <w:bottom w:val="single" w:color="2980B9" w:sz="3" w:space="2"/>
        </w:pBdr>
        <w:spacing w:before="280" w:after="80" w:line="260"/>
      </w:pPr>
      <w:r>
        <w:rPr>
          <w:rFonts w:ascii="Calibri Light" w:cs="Calibri Light" w:eastAsia="Calibri Light" w:hAnsi="Calibri Light"/>
          <w:color w:val="2980B9"/>
          <w:sz w:val="30"/>
          <w:szCs w:val="30"/>
        </w:rPr>
        <w:t xml:space="preserve">1  </w:t>
      </w:r>
      <w:r>
        <w:rPr>
          <w:rFonts w:ascii="Calibri Light" w:cs="Calibri Light" w:eastAsia="Calibri Light" w:hAnsi="Calibri Light"/>
          <w:color w:val="0C2340"/>
          <w:sz w:val="30"/>
          <w:szCs w:val="30"/>
        </w:rPr>
        <w:t xml:space="preserve">Diagnóstico aplicado — partida 2026</w:t>
      </w:r>
    </w:p>
    <w:p>
      <w:pPr>
        <w:pStyle w:val="Heading2"/>
        <w:spacing w:before="200" w:after="60" w:line="252"/>
      </w:pPr>
      <w:r>
        <w:rPr>
          <w:rFonts w:ascii="Calibri" w:cs="Calibri" w:eastAsia="Calibri" w:hAnsi="Calibri"/>
          <w:b/>
          <w:bCs/>
          <w:color w:val="163B5C"/>
          <w:sz w:val="22"/>
          <w:szCs w:val="22"/>
        </w:rPr>
        <w:t xml:space="preserve">1.1 Base positiva (o que está sólido)</w:t>
      </w:r>
    </w:p>
    <w:p>
      <w:pPr>
        <w:spacing w:before="40" w:after="40" w:line="264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334155"/>
          <w:sz w:val="20"/>
          <w:szCs w:val="20"/>
        </w:rPr>
        <w:t xml:space="preserve">A pesquisa de engajamento 2025 aponta uma base cultural positiva: favorabilidade geral de 81,3%. Existe vínculo e confiança suficientes para avançar com mudanças estruturais — desde que a empresa aumente consistência e clareza. A base não é o problema; o problema é método.</w:t>
      </w:r>
    </w:p>
    <w:p>
      <w:pPr>
        <w:spacing w:before="0" w:after="0" w:line="240"/>
      </w:pPr>
      <w:r>
        <w:t xml:space="preserve"/>
      </w:r>
    </w:p>
    <w:p>
      <w:pPr>
        <w:pStyle w:val="Heading2"/>
        <w:spacing w:before="200" w:after="60" w:line="252"/>
      </w:pPr>
      <w:r>
        <w:rPr>
          <w:rFonts w:ascii="Calibri" w:cs="Calibri" w:eastAsia="Calibri" w:hAnsi="Calibri"/>
          <w:b/>
          <w:bCs/>
          <w:color w:val="163B5C"/>
          <w:sz w:val="22"/>
          <w:szCs w:val="22"/>
        </w:rPr>
        <w:t xml:space="preserve">1.2 Gaps objetivos (o que drena energia e cria custo invisível)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26"/>
        <w:gridCol w:w="1800"/>
        <w:gridCol w:w="1700"/>
        <w:gridCol w:w="1700"/>
      </w:tblGrid>
      <w:tr>
        <w:trPr>
          <w:tblHeader/>
        </w:trPr>
        <w:tc>
          <w:tcPr>
            <w:tcW w:type="dxa" w:w="3826"/>
            <w:tcBorders>
              <w:top w:val="none" w:color="FFFFFF" w:sz="0"/>
              <w:left w:val="none" w:color="FFFFFF" w:sz="0"/>
              <w:bottom w:val="single" w:color="2980B9" w:sz="2"/>
              <w:right w:val="none" w:color="FFFFFF" w:sz="0"/>
            </w:tcBorders>
            <w:shd w:fill="0C234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/>
                <w:color w:val="FFFFFF"/>
                <w:sz w:val="18"/>
                <w:szCs w:val="18"/>
              </w:rPr>
              <w:t xml:space="preserve">Tema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2980B9" w:sz="2"/>
              <w:right w:val="none" w:color="FFFFFF" w:sz="0"/>
            </w:tcBorders>
            <w:shd w:fill="0C234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/>
                <w:color w:val="FFFFFF"/>
                <w:sz w:val="18"/>
                <w:szCs w:val="18"/>
              </w:rPr>
              <w:t xml:space="preserve">Baseline 2025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2980B9" w:sz="2"/>
              <w:right w:val="none" w:color="FFFFFF" w:sz="0"/>
            </w:tcBorders>
            <w:shd w:fill="0C234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/>
                <w:color w:val="FFFFFF"/>
                <w:sz w:val="18"/>
                <w:szCs w:val="18"/>
              </w:rPr>
              <w:t xml:space="preserve">Meta 2026 (Q3)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2980B9" w:sz="2"/>
              <w:right w:val="none" w:color="FFFFFF" w:sz="0"/>
            </w:tcBorders>
            <w:shd w:fill="0C234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/>
                <w:color w:val="FFFFFF"/>
                <w:sz w:val="18"/>
                <w:szCs w:val="18"/>
              </w:rPr>
              <w:t xml:space="preserve">Meta 2026 (Q4)</w:t>
            </w:r>
          </w:p>
        </w:tc>
      </w:tr>
      <w:tr>
        <w:tc>
          <w:tcPr>
            <w:tcW w:type="dxa" w:w="3826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9"/>
                <w:szCs w:val="19"/>
              </w:rPr>
              <w:t xml:space="preserve">Informado sobre decisões/mudanças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9"/>
                <w:szCs w:val="19"/>
              </w:rPr>
              <w:t xml:space="preserve">52%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9"/>
                <w:szCs w:val="19"/>
              </w:rPr>
              <w:t xml:space="preserve">≥ 70%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9"/>
                <w:szCs w:val="19"/>
              </w:rPr>
              <w:t xml:space="preserve">≥ 75%</w:t>
            </w:r>
          </w:p>
        </w:tc>
      </w:tr>
      <w:tr>
        <w:tc>
          <w:tcPr>
            <w:tcW w:type="dxa" w:w="3826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EEF2F7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9"/>
                <w:szCs w:val="19"/>
              </w:rPr>
              <w:t xml:space="preserve">Colaboração interáreas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EEF2F7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9"/>
                <w:szCs w:val="19"/>
              </w:rPr>
              <w:t xml:space="preserve">59%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EEF2F7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9"/>
                <w:szCs w:val="19"/>
              </w:rPr>
              <w:t xml:space="preserve">≥ 70%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EEF2F7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9"/>
                <w:szCs w:val="19"/>
              </w:rPr>
              <w:t xml:space="preserve">≥ 75%</w:t>
            </w:r>
          </w:p>
        </w:tc>
      </w:tr>
      <w:tr>
        <w:tc>
          <w:tcPr>
            <w:tcW w:type="dxa" w:w="3826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9"/>
                <w:szCs w:val="19"/>
              </w:rPr>
              <w:t xml:space="preserve">Onboarding e suporte a novos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9"/>
                <w:szCs w:val="19"/>
              </w:rPr>
              <w:t xml:space="preserve">63%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9"/>
                <w:szCs w:val="19"/>
              </w:rPr>
              <w:t xml:space="preserve">≥ 75%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9"/>
                <w:szCs w:val="19"/>
              </w:rPr>
              <w:t xml:space="preserve">≥ 80%</w:t>
            </w:r>
          </w:p>
        </w:tc>
      </w:tr>
      <w:tr>
        <w:tc>
          <w:tcPr>
            <w:tcW w:type="dxa" w:w="3826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EEF2F7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9"/>
                <w:szCs w:val="19"/>
              </w:rPr>
              <w:t xml:space="preserve">Reconhecimento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EEF2F7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9"/>
                <w:szCs w:val="19"/>
              </w:rPr>
              <w:t xml:space="preserve">67–70%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EEF2F7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9"/>
                <w:szCs w:val="19"/>
              </w:rPr>
              <w:t xml:space="preserve">≥ 78%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EEF2F7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9"/>
                <w:szCs w:val="19"/>
              </w:rPr>
              <w:t xml:space="preserve">≥ 82%</w:t>
            </w:r>
          </w:p>
        </w:tc>
      </w:tr>
    </w:tbl>
    <w:p>
      <w:pPr>
        <w:spacing w:before="0" w:after="0" w:line="240"/>
      </w:pPr>
      <w:r>
        <w:t xml:space="preserve"/>
      </w:r>
    </w:p>
    <w:p>
      <w:pPr>
        <w:pStyle w:val="Heading2"/>
        <w:spacing w:before="200" w:after="60" w:line="252"/>
      </w:pPr>
      <w:r>
        <w:rPr>
          <w:rFonts w:ascii="Calibri" w:cs="Calibri" w:eastAsia="Calibri" w:hAnsi="Calibri"/>
          <w:b/>
          <w:bCs/>
          <w:color w:val="163B5C"/>
          <w:sz w:val="22"/>
          <w:szCs w:val="22"/>
        </w:rPr>
        <w:t xml:space="preserve">1.3 Por que 2026 amplifica o risco</w:t>
      </w:r>
    </w:p>
    <w:p>
      <w:pPr>
        <w:spacing w:before="40" w:after="40" w:line="264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334155"/>
          <w:sz w:val="20"/>
          <w:szCs w:val="20"/>
        </w:rPr>
        <w:t xml:space="preserve">2026 adiciona pressão ao sistema: entrada e troca de peças-chave (COO, Comercial); reorganização de estrutura e papéis; aumento de exigência por desempenho e densidade intelectual; separação progressiva Aero x Techdengue. Se os gaps não forem tratados, a tendência é: aumento de rotatividade em funções críticas, onboarding mais lento com retrabalho, ruído entre áreas e decisões lentas, percepção de injustiça por falta de reconhecimento.</w:t>
      </w:r>
    </w:p>
    <w:p>
      <w:pPr>
        <w:spacing w:before="0" w:after="0" w:line="240"/>
      </w:pPr>
      <w:r>
        <w:t xml:space="preserve"/>
      </w:r>
    </w:p>
    <w:p>
      <w:pPr>
        <w:pStyle w:val="Heading1"/>
        <w:pBdr>
          <w:bottom w:val="single" w:color="2980B9" w:sz="3" w:space="2"/>
        </w:pBdr>
        <w:spacing w:before="280" w:after="80" w:line="260"/>
      </w:pPr>
      <w:r>
        <w:rPr>
          <w:rFonts w:ascii="Calibri Light" w:cs="Calibri Light" w:eastAsia="Calibri Light" w:hAnsi="Calibri Light"/>
          <w:color w:val="2980B9"/>
          <w:sz w:val="30"/>
          <w:szCs w:val="30"/>
        </w:rPr>
        <w:t xml:space="preserve">2  </w:t>
      </w:r>
      <w:r>
        <w:rPr>
          <w:rFonts w:ascii="Calibri Light" w:cs="Calibri Light" w:eastAsia="Calibri Light" w:hAnsi="Calibri Light"/>
          <w:color w:val="0C2340"/>
          <w:sz w:val="30"/>
          <w:szCs w:val="30"/>
        </w:rPr>
        <w:t xml:space="preserve">Pilar institucional e vínculo PE2026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6CA8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0"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20"/>
                <w:szCs w:val="20"/>
              </w:rPr>
              <w:t xml:space="preserve"> </w:t>
            </w:r>
          </w:p>
        </w:tc>
        <w:tc>
          <w:tcPr>
            <w:tcW w:type="dxa" w:w="8906"/>
            <w:tcBorders>
              <w:top w:val="none" w:color="FFFFFF" w:sz="0"/>
              <w:left w:val="none" w:color="FFFFFF" w:sz="0"/>
              <w:bottom w:val="single" w:color="E2E8F0" w:sz="1"/>
              <w:right w:val="none" w:color="FFFFFF" w:sz="0"/>
            </w:tcBorders>
            <w:shd w:fill="F8FAFC" w:val="clear"/>
            <w:tcMar>
              <w:top w:type="dxa" w:w="80"/>
              <w:left w:type="dxa" w:w="180"/>
              <w:bottom w:type="dxa" w:w="80"/>
              <w:right w:type="dxa" w:w="100"/>
            </w:tcMar>
          </w:tcPr>
          <w:p>
            <w:pPr>
              <w:spacing w:before="0" w:after="3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6CA8"/>
                <w:sz w:val="18"/>
                <w:szCs w:val="18"/>
              </w:rPr>
              <w:t xml:space="preserve">P5 — Pessoas, Liderança e Capacidade Intelectual</w:t>
            </w:r>
          </w:p>
          <w:p>
            <w:pPr>
              <w:spacing w:before="0"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9"/>
                <w:szCs w:val="19"/>
              </w:rPr>
              <w:t xml:space="preserve">P5 não é tema cultural — é infraestrutura para escala. O RH transforma P5 em rotina mensurável: rituais, dados, metas, liderança, estabilidade e cultura operacional. Todo KR do RH vincula-se a pelo menos um subpilar de P5.</w:t>
            </w:r>
          </w:p>
        </w:tc>
      </w:tr>
    </w:tbl>
    <w:p>
      <w:pPr>
        <w:spacing w:before="0" w:after="0" w:line="24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26"/>
      </w:tblGrid>
      <w:tr>
        <w:trPr>
          <w:tblHeader/>
        </w:trPr>
        <w:tc>
          <w:tcPr>
            <w:tcW w:type="dxa" w:w="3200"/>
            <w:tcBorders>
              <w:top w:val="none" w:color="FFFFFF" w:sz="0"/>
              <w:left w:val="none" w:color="FFFFFF" w:sz="0"/>
              <w:bottom w:val="single" w:color="2980B9" w:sz="2"/>
              <w:right w:val="none" w:color="FFFFFF" w:sz="0"/>
            </w:tcBorders>
            <w:shd w:fill="0C234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/>
                <w:color w:val="FFFFFF"/>
                <w:sz w:val="18"/>
                <w:szCs w:val="18"/>
              </w:rPr>
              <w:t xml:space="preserve">Subpilar P5</w:t>
            </w:r>
          </w:p>
        </w:tc>
        <w:tc>
          <w:tcPr>
            <w:tcW w:type="dxa" w:w="5826"/>
            <w:tcBorders>
              <w:top w:val="none" w:color="FFFFFF" w:sz="0"/>
              <w:left w:val="none" w:color="FFFFFF" w:sz="0"/>
              <w:bottom w:val="single" w:color="2980B9" w:sz="2"/>
              <w:right w:val="none" w:color="FFFFFF" w:sz="0"/>
            </w:tcBorders>
            <w:shd w:fill="0C234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/>
                <w:color w:val="FFFFFF"/>
                <w:sz w:val="18"/>
                <w:szCs w:val="18"/>
              </w:rPr>
              <w:t xml:space="preserve">Responsabilidade do RH</w:t>
            </w:r>
          </w:p>
        </w:tc>
      </w:tr>
      <w:tr>
        <w:tc>
          <w:tcPr>
            <w:tcW w:type="dxa" w:w="3200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9"/>
                <w:szCs w:val="19"/>
              </w:rPr>
              <w:t xml:space="preserve">P5.S1 — Liderança e gestão</w:t>
            </w:r>
          </w:p>
        </w:tc>
        <w:tc>
          <w:tcPr>
            <w:tcW w:type="dxa" w:w="5826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9"/>
                <w:szCs w:val="19"/>
              </w:rPr>
              <w:t xml:space="preserve">Escola de Líderes, rituais mínimos, aderência e cobrança de líderes</w:t>
            </w:r>
          </w:p>
        </w:tc>
      </w:tr>
      <w:tr>
        <w:tc>
          <w:tcPr>
            <w:tcW w:type="dxa" w:w="3200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EEF2F7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9"/>
                <w:szCs w:val="19"/>
              </w:rPr>
              <w:t xml:space="preserve">P5.S2 — Talentos e densidade intelectual</w:t>
            </w:r>
          </w:p>
        </w:tc>
        <w:tc>
          <w:tcPr>
            <w:tcW w:type="dxa" w:w="5826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EEF2F7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9"/>
                <w:szCs w:val="19"/>
              </w:rPr>
              <w:t xml:space="preserve">Atração, contratação de qualidade, PDIs e trilhas de desenvolvimento</w:t>
            </w:r>
          </w:p>
        </w:tc>
      </w:tr>
      <w:tr>
        <w:tc>
          <w:tcPr>
            <w:tcW w:type="dxa" w:w="3200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9"/>
                <w:szCs w:val="19"/>
              </w:rPr>
              <w:t xml:space="preserve">P5.S3 — Cultura, engajamento e reconhecimento</w:t>
            </w:r>
          </w:p>
        </w:tc>
        <w:tc>
          <w:tcPr>
            <w:tcW w:type="dxa" w:w="5826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9"/>
                <w:szCs w:val="19"/>
              </w:rPr>
              <w:t xml:space="preserve">Programas Conecta e Reconhece — correção dos 4 gargalos</w:t>
            </w:r>
          </w:p>
        </w:tc>
      </w:tr>
      <w:tr>
        <w:tc>
          <w:tcPr>
            <w:tcW w:type="dxa" w:w="3200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EEF2F7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9"/>
                <w:szCs w:val="19"/>
              </w:rPr>
              <w:t xml:space="preserve">P5.S4 — People Analytics e governança RH</w:t>
            </w:r>
          </w:p>
        </w:tc>
        <w:tc>
          <w:tcPr>
            <w:tcW w:type="dxa" w:w="5826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EEF2F7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9"/>
                <w:szCs w:val="19"/>
              </w:rPr>
              <w:t xml:space="preserve">Programa Inova — dicionário de KPIs, painel RH, GPTW com evidência</w:t>
            </w:r>
          </w:p>
        </w:tc>
      </w:tr>
    </w:tbl>
    <w:p>
      <w:pPr>
        <w:spacing w:before="0" w:after="0" w:line="240"/>
      </w:pPr>
      <w:r>
        <w:t xml:space="preserve"/>
      </w:r>
    </w:p>
    <w:p>
      <w:pPr>
        <w:pStyle w:val="Heading1"/>
        <w:pBdr>
          <w:bottom w:val="single" w:color="2980B9" w:sz="3" w:space="2"/>
        </w:pBdr>
        <w:spacing w:before="280" w:after="80" w:line="260"/>
      </w:pPr>
      <w:r>
        <w:rPr>
          <w:rFonts w:ascii="Calibri Light" w:cs="Calibri Light" w:eastAsia="Calibri Light" w:hAnsi="Calibri Light"/>
          <w:color w:val="2980B9"/>
          <w:sz w:val="30"/>
          <w:szCs w:val="30"/>
        </w:rPr>
        <w:t xml:space="preserve">3  </w:t>
      </w:r>
      <w:r>
        <w:rPr>
          <w:rFonts w:ascii="Calibri Light" w:cs="Calibri Light" w:eastAsia="Calibri Light" w:hAnsi="Calibri Light"/>
          <w:color w:val="0C2340"/>
          <w:sz w:val="30"/>
          <w:szCs w:val="30"/>
        </w:rPr>
        <w:t xml:space="preserve">Objetivos estratégicos do ano (O1–O5)</w:t>
      </w:r>
    </w:p>
    <w:p>
      <w:pPr>
        <w:spacing w:before="40" w:after="40" w:line="264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334155"/>
          <w:sz w:val="20"/>
          <w:szCs w:val="20"/>
        </w:rPr>
        <w:t xml:space="preserve">Os cinco objetivos do RH 2026 são fixos para o ciclo. Toda iniciativa, meta e evidência deve vincular-se a pelo menos um objetivo. Os objetivos são desdobrados em OKRs e KRs na Seção 5.</w:t>
      </w:r>
    </w:p>
    <w:p>
      <w:pPr>
        <w:spacing w:before="0" w:after="0" w:line="24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900"/>
        <w:gridCol w:w="3826"/>
        <w:gridCol w:w="1600"/>
      </w:tblGrid>
      <w:tr>
        <w:trPr>
          <w:tblHeader/>
        </w:trPr>
        <w:tc>
          <w:tcPr>
            <w:tcW w:type="dxa" w:w="700"/>
            <w:tcBorders>
              <w:top w:val="none" w:color="FFFFFF" w:sz="0"/>
              <w:left w:val="none" w:color="FFFFFF" w:sz="0"/>
              <w:bottom w:val="single" w:color="2980B9" w:sz="2"/>
              <w:right w:val="none" w:color="FFFFFF" w:sz="0"/>
            </w:tcBorders>
            <w:shd w:fill="0C234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/>
                <w:color w:val="FFFFFF"/>
                <w:sz w:val="18"/>
                <w:szCs w:val="18"/>
              </w:rPr>
              <w:t xml:space="preserve">Código</w:t>
            </w:r>
          </w:p>
        </w:tc>
        <w:tc>
          <w:tcPr>
            <w:tcW w:type="dxa" w:w="2900"/>
            <w:tcBorders>
              <w:top w:val="none" w:color="FFFFFF" w:sz="0"/>
              <w:left w:val="none" w:color="FFFFFF" w:sz="0"/>
              <w:bottom w:val="single" w:color="2980B9" w:sz="2"/>
              <w:right w:val="none" w:color="FFFFFF" w:sz="0"/>
            </w:tcBorders>
            <w:shd w:fill="0C234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/>
                <w:color w:val="FFFFFF"/>
                <w:sz w:val="18"/>
                <w:szCs w:val="18"/>
              </w:rPr>
              <w:t xml:space="preserve">Objetivo</w:t>
            </w:r>
          </w:p>
        </w:tc>
        <w:tc>
          <w:tcPr>
            <w:tcW w:type="dxa" w:w="3826"/>
            <w:tcBorders>
              <w:top w:val="none" w:color="FFFFFF" w:sz="0"/>
              <w:left w:val="none" w:color="FFFFFF" w:sz="0"/>
              <w:bottom w:val="single" w:color="2980B9" w:sz="2"/>
              <w:right w:val="none" w:color="FFFFFF" w:sz="0"/>
            </w:tcBorders>
            <w:shd w:fill="0C234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/>
                <w:color w:val="FFFFFF"/>
                <w:sz w:val="18"/>
                <w:szCs w:val="18"/>
              </w:rPr>
              <w:t xml:space="preserve">Por que importa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single" w:color="2980B9" w:sz="2"/>
              <w:right w:val="none" w:color="FFFFFF" w:sz="0"/>
            </w:tcBorders>
            <w:shd w:fill="0C234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/>
                <w:color w:val="FFFFFF"/>
                <w:sz w:val="18"/>
                <w:szCs w:val="18"/>
              </w:rPr>
              <w:t xml:space="preserve">Subpilar</w:t>
            </w:r>
          </w:p>
        </w:tc>
      </w:tr>
      <w:tr>
        <w:tc>
          <w:tcPr>
            <w:tcW w:type="dxa" w:w="700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9"/>
                <w:szCs w:val="19"/>
              </w:rPr>
              <w:t xml:space="preserve">O1</w:t>
            </w:r>
          </w:p>
        </w:tc>
        <w:tc>
          <w:tcPr>
            <w:tcW w:type="dxa" w:w="2900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9"/>
                <w:szCs w:val="19"/>
              </w:rPr>
              <w:t xml:space="preserve">Reduzir rotatividade e proteger posições críticas</w:t>
            </w:r>
          </w:p>
        </w:tc>
        <w:tc>
          <w:tcPr>
            <w:tcW w:type="dxa" w:w="3826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9"/>
                <w:szCs w:val="19"/>
              </w:rPr>
              <w:t xml:space="preserve">Protege capacidade e reduz custo invisível de perda e reposição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9"/>
                <w:szCs w:val="19"/>
              </w:rPr>
              <w:t xml:space="preserve">P5.S1/S2</w:t>
            </w:r>
          </w:p>
        </w:tc>
      </w:tr>
      <w:tr>
        <w:tc>
          <w:tcPr>
            <w:tcW w:type="dxa" w:w="700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EEF2F7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9"/>
                <w:szCs w:val="19"/>
              </w:rPr>
              <w:t xml:space="preserve">O2</w:t>
            </w:r>
          </w:p>
        </w:tc>
        <w:tc>
          <w:tcPr>
            <w:tcW w:type="dxa" w:w="2900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EEF2F7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9"/>
                <w:szCs w:val="19"/>
              </w:rPr>
              <w:t xml:space="preserve">Aumentar maturidade de liderança — Escola de Líderes</w:t>
            </w:r>
          </w:p>
        </w:tc>
        <w:tc>
          <w:tcPr>
            <w:tcW w:type="dxa" w:w="3826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EEF2F7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9"/>
                <w:szCs w:val="19"/>
              </w:rPr>
              <w:t xml:space="preserve">Liderança instável multiplica ruído e quebra execução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EEF2F7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9"/>
                <w:szCs w:val="19"/>
              </w:rPr>
              <w:t xml:space="preserve">P5.S1</w:t>
            </w:r>
          </w:p>
        </w:tc>
      </w:tr>
      <w:tr>
        <w:tc>
          <w:tcPr>
            <w:tcW w:type="dxa" w:w="700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9"/>
                <w:szCs w:val="19"/>
              </w:rPr>
              <w:t xml:space="preserve">O3</w:t>
            </w:r>
          </w:p>
        </w:tc>
        <w:tc>
          <w:tcPr>
            <w:tcW w:type="dxa" w:w="2900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9"/>
                <w:szCs w:val="19"/>
              </w:rPr>
              <w:t xml:space="preserve">Corrigir os 4 gargalos de cultura operacional</w:t>
            </w:r>
          </w:p>
        </w:tc>
        <w:tc>
          <w:tcPr>
            <w:tcW w:type="dxa" w:w="3826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9"/>
                <w:szCs w:val="19"/>
              </w:rPr>
              <w:t xml:space="preserve">Cultura operacional é energia útil e previsibilidade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9"/>
                <w:szCs w:val="19"/>
              </w:rPr>
              <w:t xml:space="preserve">P5.S3</w:t>
            </w:r>
          </w:p>
        </w:tc>
      </w:tr>
      <w:tr>
        <w:tc>
          <w:tcPr>
            <w:tcW w:type="dxa" w:w="700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EEF2F7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9"/>
                <w:szCs w:val="19"/>
              </w:rPr>
              <w:t xml:space="preserve">O4</w:t>
            </w:r>
          </w:p>
        </w:tc>
        <w:tc>
          <w:tcPr>
            <w:tcW w:type="dxa" w:w="2900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EEF2F7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9"/>
                <w:szCs w:val="19"/>
              </w:rPr>
              <w:t xml:space="preserve">Institucionalizar gestão de desempenho</w:t>
            </w:r>
          </w:p>
        </w:tc>
        <w:tc>
          <w:tcPr>
            <w:tcW w:type="dxa" w:w="3826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EEF2F7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9"/>
                <w:szCs w:val="19"/>
              </w:rPr>
              <w:t xml:space="preserve">Mérito com método melhora performance e reduz injustiça percebida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EEF2F7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9"/>
                <w:szCs w:val="19"/>
              </w:rPr>
              <w:t xml:space="preserve">P5.S2/S4</w:t>
            </w:r>
          </w:p>
        </w:tc>
      </w:tr>
      <w:tr>
        <w:tc>
          <w:tcPr>
            <w:tcW w:type="dxa" w:w="700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9"/>
                <w:szCs w:val="19"/>
              </w:rPr>
              <w:t xml:space="preserve">O5</w:t>
            </w:r>
          </w:p>
        </w:tc>
        <w:tc>
          <w:tcPr>
            <w:tcW w:type="dxa" w:w="2900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9"/>
                <w:szCs w:val="19"/>
              </w:rPr>
              <w:t xml:space="preserve">Consolidar marca empregadora e GPTW como disciplina</w:t>
            </w:r>
          </w:p>
        </w:tc>
        <w:tc>
          <w:tcPr>
            <w:tcW w:type="dxa" w:w="3826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9"/>
                <w:szCs w:val="19"/>
              </w:rPr>
              <w:t xml:space="preserve">Atrair e reter melhor depende de coerência entre prática interna e narrativa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9"/>
                <w:szCs w:val="19"/>
              </w:rPr>
              <w:t xml:space="preserve">P5.S3/S4</w:t>
            </w:r>
          </w:p>
        </w:tc>
      </w:tr>
    </w:tbl>
    <w:p>
      <w:pPr>
        <w:spacing w:before="0" w:after="0" w:line="240"/>
      </w:pPr>
      <w:r>
        <w:t xml:space="preserve"/>
      </w:r>
    </w:p>
    <w:p>
      <w:pPr>
        <w:pStyle w:val="Heading1"/>
        <w:pBdr>
          <w:bottom w:val="single" w:color="2980B9" w:sz="3" w:space="2"/>
        </w:pBdr>
        <w:spacing w:before="280" w:after="80" w:line="260"/>
      </w:pPr>
      <w:r>
        <w:rPr>
          <w:rFonts w:ascii="Calibri Light" w:cs="Calibri Light" w:eastAsia="Calibri Light" w:hAnsi="Calibri Light"/>
          <w:color w:val="2980B9"/>
          <w:sz w:val="30"/>
          <w:szCs w:val="30"/>
        </w:rPr>
        <w:t xml:space="preserve">4  </w:t>
      </w:r>
      <w:r>
        <w:rPr>
          <w:rFonts w:ascii="Calibri Light" w:cs="Calibri Light" w:eastAsia="Calibri Light" w:hAnsi="Calibri Light"/>
          <w:color w:val="0C2340"/>
          <w:sz w:val="30"/>
          <w:szCs w:val="30"/>
        </w:rPr>
        <w:t xml:space="preserve">Programas do RH — estrutura de execução</w:t>
      </w:r>
    </w:p>
    <w:p>
      <w:pPr>
        <w:spacing w:before="40" w:after="40" w:line="264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334155"/>
          <w:sz w:val="20"/>
          <w:szCs w:val="20"/>
        </w:rPr>
        <w:t xml:space="preserve">A execução do RH 2026 é organizada exclusivamente dentro dos quatro programas. Não há iniciativa fora dessa estrutura. Cada programa agrupa iniciativas por afinidade estratégica e governa seu próprio placar de KPIs.</w:t>
      </w:r>
    </w:p>
    <w:p>
      <w:pPr>
        <w:spacing w:before="0" w:after="0" w:line="24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26"/>
        <w:gridCol w:w="2100"/>
        <w:gridCol w:w="1200"/>
      </w:tblGrid>
      <w:tr>
        <w:trPr>
          <w:tblHeader/>
        </w:trPr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2980B9" w:sz="2"/>
              <w:right w:val="none" w:color="FFFFFF" w:sz="0"/>
            </w:tcBorders>
            <w:shd w:fill="0C234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/>
                <w:color w:val="FFFFFF"/>
                <w:sz w:val="18"/>
                <w:szCs w:val="18"/>
              </w:rPr>
              <w:t xml:space="preserve">Programa</w:t>
            </w:r>
          </w:p>
        </w:tc>
        <w:tc>
          <w:tcPr>
            <w:tcW w:type="dxa" w:w="3526"/>
            <w:tcBorders>
              <w:top w:val="none" w:color="FFFFFF" w:sz="0"/>
              <w:left w:val="none" w:color="FFFFFF" w:sz="0"/>
              <w:bottom w:val="single" w:color="2980B9" w:sz="2"/>
              <w:right w:val="none" w:color="FFFFFF" w:sz="0"/>
            </w:tcBorders>
            <w:shd w:fill="0C234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/>
                <w:color w:val="FFFFFF"/>
                <w:sz w:val="18"/>
                <w:szCs w:val="18"/>
              </w:rPr>
              <w:t xml:space="preserve">Resolve</w:t>
            </w:r>
          </w:p>
        </w:tc>
        <w:tc>
          <w:tcPr>
            <w:tcW w:type="dxa" w:w="2100"/>
            <w:tcBorders>
              <w:top w:val="none" w:color="FFFFFF" w:sz="0"/>
              <w:left w:val="none" w:color="FFFFFF" w:sz="0"/>
              <w:bottom w:val="single" w:color="2980B9" w:sz="2"/>
              <w:right w:val="none" w:color="FFFFFF" w:sz="0"/>
            </w:tcBorders>
            <w:shd w:fill="0C234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/>
                <w:color w:val="FFFFFF"/>
                <w:sz w:val="18"/>
                <w:szCs w:val="18"/>
              </w:rPr>
              <w:t xml:space="preserve">Objetivos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single" w:color="2980B9" w:sz="2"/>
              <w:right w:val="none" w:color="FFFFFF" w:sz="0"/>
            </w:tcBorders>
            <w:shd w:fill="0C234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/>
                <w:color w:val="FFFFFF"/>
                <w:sz w:val="18"/>
                <w:szCs w:val="18"/>
              </w:rPr>
              <w:t xml:space="preserve">Prazo de ativação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9"/>
                <w:szCs w:val="19"/>
              </w:rPr>
              <w:t xml:space="preserve">Aero Conecta</w:t>
            </w:r>
          </w:p>
        </w:tc>
        <w:tc>
          <w:tcPr>
            <w:tcW w:type="dxa" w:w="3526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9"/>
                <w:szCs w:val="19"/>
              </w:rPr>
              <w:t xml:space="preserve">Ruído, baixa clareza de decisões (52%), colaboração frágil (59%)</w:t>
            </w:r>
          </w:p>
        </w:tc>
        <w:tc>
          <w:tcPr>
            <w:tcW w:type="dxa" w:w="2100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9"/>
                <w:szCs w:val="19"/>
              </w:rPr>
              <w:t xml:space="preserve">O3, O5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9"/>
                <w:szCs w:val="19"/>
              </w:rPr>
              <w:t xml:space="preserve">Q1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EEF2F7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9"/>
                <w:szCs w:val="19"/>
              </w:rPr>
              <w:t xml:space="preserve">Aero Desenvolve</w:t>
            </w:r>
          </w:p>
        </w:tc>
        <w:tc>
          <w:tcPr>
            <w:tcW w:type="dxa" w:w="3526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EEF2F7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9"/>
                <w:szCs w:val="19"/>
              </w:rPr>
              <w:t xml:space="preserve">Maturidade desigual de liderança, ausência de ciclo de desempenho</w:t>
            </w:r>
          </w:p>
        </w:tc>
        <w:tc>
          <w:tcPr>
            <w:tcW w:type="dxa" w:w="2100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EEF2F7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9"/>
                <w:szCs w:val="19"/>
              </w:rPr>
              <w:t xml:space="preserve">O2, O4 (apoia O1)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EEF2F7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9"/>
                <w:szCs w:val="19"/>
              </w:rPr>
              <w:t xml:space="preserve">Q1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9"/>
                <w:szCs w:val="19"/>
              </w:rPr>
              <w:t xml:space="preserve">Aero Reconhece</w:t>
            </w:r>
          </w:p>
        </w:tc>
        <w:tc>
          <w:tcPr>
            <w:tcW w:type="dxa" w:w="3526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9"/>
                <w:szCs w:val="19"/>
              </w:rPr>
              <w:t xml:space="preserve">Reconhecimento insuficiente (67–70%), risco de injustiça percebida</w:t>
            </w:r>
          </w:p>
        </w:tc>
        <w:tc>
          <w:tcPr>
            <w:tcW w:type="dxa" w:w="2100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9"/>
                <w:szCs w:val="19"/>
              </w:rPr>
              <w:t xml:space="preserve">O3, O1, O5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9"/>
                <w:szCs w:val="19"/>
              </w:rPr>
              <w:t xml:space="preserve">Q1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EEF2F7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9"/>
                <w:szCs w:val="19"/>
              </w:rPr>
              <w:t xml:space="preserve">Aero Inova</w:t>
            </w:r>
          </w:p>
        </w:tc>
        <w:tc>
          <w:tcPr>
            <w:tcW w:type="dxa" w:w="3526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EEF2F7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9"/>
                <w:szCs w:val="19"/>
              </w:rPr>
              <w:t xml:space="preserve">Decisões reativas, ausência de People Analytics, GPTW sem evidência</w:t>
            </w:r>
          </w:p>
        </w:tc>
        <w:tc>
          <w:tcPr>
            <w:tcW w:type="dxa" w:w="2100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EEF2F7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9"/>
                <w:szCs w:val="19"/>
              </w:rPr>
              <w:t xml:space="preserve">O1–O5 (ênfase O5)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EEF2F7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9"/>
                <w:szCs w:val="19"/>
              </w:rPr>
              <w:t xml:space="preserve">Q1/Q2</w:t>
            </w:r>
          </w:p>
        </w:tc>
      </w:tr>
    </w:tbl>
    <w:p>
      <w:pPr>
        <w:spacing w:before="0" w:after="0" w:line="24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8860B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0"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20"/>
                <w:szCs w:val="20"/>
              </w:rPr>
              <w:t xml:space="preserve"> </w:t>
            </w:r>
          </w:p>
        </w:tc>
        <w:tc>
          <w:tcPr>
            <w:tcW w:type="dxa" w:w="8906"/>
            <w:tcBorders>
              <w:top w:val="none" w:color="FFFFFF" w:sz="0"/>
              <w:left w:val="none" w:color="FFFFFF" w:sz="0"/>
              <w:bottom w:val="single" w:color="E2E8F0" w:sz="1"/>
              <w:right w:val="none" w:color="FFFFFF" w:sz="0"/>
            </w:tcBorders>
            <w:shd w:fill="F8FAFC" w:val="clear"/>
            <w:tcMar>
              <w:top w:type="dxa" w:w="80"/>
              <w:left w:type="dxa" w:w="180"/>
              <w:bottom w:type="dxa" w:w="80"/>
              <w:right w:type="dxa" w:w="100"/>
            </w:tcMar>
          </w:tcPr>
          <w:p>
            <w:pPr>
              <w:spacing w:before="0" w:after="3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B8860B"/>
                <w:sz w:val="18"/>
                <w:szCs w:val="18"/>
              </w:rPr>
              <w:t xml:space="preserve">Regra de WIP</w:t>
            </w:r>
          </w:p>
          <w:p>
            <w:pPr>
              <w:spacing w:before="0"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9"/>
                <w:szCs w:val="19"/>
              </w:rPr>
              <w:t xml:space="preserve">No Q1, manter no máximo 3 iniciativas pesadas em paralelo por vez. O aumento de WIP sem aumento de capacidade mata execução.</w:t>
            </w:r>
          </w:p>
        </w:tc>
      </w:tr>
    </w:tbl>
    <w:p>
      <w:pPr>
        <w:spacing w:before="0" w:after="0" w:line="240"/>
      </w:pPr>
      <w:r>
        <w:t xml:space="preserve"/>
      </w:r>
    </w:p>
    <w:p>
      <w:pPr>
        <w:pStyle w:val="Heading1"/>
        <w:pBdr>
          <w:bottom w:val="single" w:color="2980B9" w:sz="3" w:space="2"/>
        </w:pBdr>
        <w:spacing w:before="280" w:after="80" w:line="260"/>
      </w:pPr>
      <w:r>
        <w:rPr>
          <w:rFonts w:ascii="Calibri Light" w:cs="Calibri Light" w:eastAsia="Calibri Light" w:hAnsi="Calibri Light"/>
          <w:color w:val="2980B9"/>
          <w:sz w:val="30"/>
          <w:szCs w:val="30"/>
        </w:rPr>
        <w:t xml:space="preserve">5  </w:t>
      </w:r>
      <w:r>
        <w:rPr>
          <w:rFonts w:ascii="Calibri Light" w:cs="Calibri Light" w:eastAsia="Calibri Light" w:hAnsi="Calibri Light"/>
          <w:color w:val="0C2340"/>
          <w:sz w:val="30"/>
          <w:szCs w:val="30"/>
        </w:rPr>
        <w:t xml:space="preserve">Contratos de resultado — OKRs e KRs por objetivo</w:t>
      </w:r>
    </w:p>
    <w:p>
      <w:pPr>
        <w:spacing w:before="40" w:after="40" w:line="264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334155"/>
          <w:sz w:val="20"/>
          <w:szCs w:val="20"/>
        </w:rPr>
        <w:t xml:space="preserve">Os OKRs e KRs abaixo constituem o contrato de resultado do RH 2026. São a fonte de verdade para cobrança no MBR e QBR. O detalhamento de cada iniciativa (entrega mínima, evidência, responsável) está no DOC 11-A.2.</w:t>
      </w:r>
    </w:p>
    <w:p>
      <w:pPr>
        <w:spacing w:before="0" w:after="0" w:line="240"/>
      </w:pPr>
      <w:r>
        <w:t xml:space="preserve"/>
      </w:r>
    </w:p>
    <w:p>
      <w:pPr>
        <w:pStyle w:val="Heading2"/>
        <w:spacing w:before="200" w:after="60" w:line="252"/>
      </w:pPr>
      <w:r>
        <w:rPr>
          <w:rFonts w:ascii="Calibri" w:cs="Calibri" w:eastAsia="Calibri" w:hAnsi="Calibri"/>
          <w:b/>
          <w:bCs/>
          <w:color w:val="163B5C"/>
          <w:sz w:val="22"/>
          <w:szCs w:val="22"/>
        </w:rPr>
        <w:t xml:space="preserve">OKR-RH-O1 — Reduzir rotatividade e proteger posições críticas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9026"/>
            <w:gridSpan w:val="2"/>
            <w:tcBorders>
              <w:top w:val="none" w:color="FFFFFF" w:sz="0"/>
              <w:left w:val="none" w:color="FFFFFF" w:sz="0"/>
              <w:bottom w:val="single" w:color="2980B9" w:sz="2"/>
              <w:right w:val="none" w:color="FFFFFF" w:sz="0"/>
            </w:tcBorders>
            <w:shd w:fill="0C234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2980B9"/>
                <w:sz w:val="20"/>
                <w:szCs w:val="20"/>
              </w:rPr>
              <w:t xml:space="preserve">OKR-RH-O1 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20"/>
                <w:szCs w:val="20"/>
              </w:rPr>
              <w:t xml:space="preserve">Estabilidade e proteção de capacidade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EEF2F7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63B5C"/>
                <w:sz w:val="18"/>
                <w:szCs w:val="18"/>
              </w:rPr>
              <w:t xml:space="preserve">Objetivo</w:t>
            </w:r>
          </w:p>
        </w:tc>
        <w:tc>
          <w:tcPr>
            <w:tcW w:type="dxa" w:w="6826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EEF2F7" w:val="clear"/>
            <w:tcMar>
              <w:top w:type="dxa" w:w="60"/>
              <w:left w:type="dxa" w:w="80"/>
              <w:bottom w:type="dxa" w:w="60"/>
              <w:right w:type="dxa" w:w="160"/>
            </w:tcMar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8"/>
                <w:szCs w:val="18"/>
              </w:rPr>
              <w:t xml:space="preserve">O1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EEF2F7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63B5C"/>
                <w:sz w:val="18"/>
                <w:szCs w:val="18"/>
              </w:rPr>
              <w:t xml:space="preserve">Programa</w:t>
            </w:r>
          </w:p>
        </w:tc>
        <w:tc>
          <w:tcPr>
            <w:tcW w:type="dxa" w:w="6826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EEF2F7" w:val="clear"/>
            <w:tcMar>
              <w:top w:type="dxa" w:w="60"/>
              <w:left w:type="dxa" w:w="80"/>
              <w:bottom w:type="dxa" w:w="60"/>
              <w:right w:type="dxa" w:w="160"/>
            </w:tcMar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8"/>
                <w:szCs w:val="18"/>
              </w:rPr>
              <w:t xml:space="preserve">Aero Desenvolve + transversal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EEF2F7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63B5C"/>
                <w:sz w:val="18"/>
                <w:szCs w:val="18"/>
              </w:rPr>
              <w:t xml:space="preserve">Meta geral</w:t>
            </w:r>
          </w:p>
        </w:tc>
        <w:tc>
          <w:tcPr>
            <w:tcW w:type="dxa" w:w="6826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EEF2F7" w:val="clear"/>
            <w:tcMar>
              <w:top w:type="dxa" w:w="60"/>
              <w:left w:type="dxa" w:w="80"/>
              <w:bottom w:type="dxa" w:w="60"/>
              <w:right w:type="dxa" w:w="160"/>
            </w:tcMar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8"/>
                <w:szCs w:val="18"/>
              </w:rPr>
              <w:t xml:space="preserve">Turnover total ≤ 35% (YTD anual) e turnover em críticos ≤ 20%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EEF2F7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63B5C"/>
                <w:sz w:val="18"/>
                <w:szCs w:val="18"/>
              </w:rPr>
              <w:t xml:space="preserve">Baseline 2025</w:t>
            </w:r>
          </w:p>
        </w:tc>
        <w:tc>
          <w:tcPr>
            <w:tcW w:type="dxa" w:w="6826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EEF2F7" w:val="clear"/>
            <w:tcMar>
              <w:top w:type="dxa" w:w="60"/>
              <w:left w:type="dxa" w:w="80"/>
              <w:bottom w:type="dxa" w:w="60"/>
              <w:right w:type="dxa" w:w="160"/>
            </w:tcMar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8"/>
                <w:szCs w:val="18"/>
              </w:rPr>
              <w:t xml:space="preserve">Turnover 2025: a apurar no Q1 (baseline a estabelecer)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EEF2F7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63B5C"/>
                <w:sz w:val="18"/>
                <w:szCs w:val="18"/>
              </w:rPr>
              <w:t xml:space="preserve">Deadline / marco</w:t>
            </w:r>
          </w:p>
        </w:tc>
        <w:tc>
          <w:tcPr>
            <w:tcW w:type="dxa" w:w="6826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EEF2F7" w:val="clear"/>
            <w:tcMar>
              <w:top w:type="dxa" w:w="60"/>
              <w:left w:type="dxa" w:w="80"/>
              <w:bottom w:type="dxa" w:w="60"/>
              <w:right w:type="dxa" w:w="160"/>
            </w:tcMar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8"/>
                <w:szCs w:val="18"/>
              </w:rPr>
              <w:t xml:space="preserve">Cobertura de críticos: Mar/2026 | Turnover: acompanhamento mensal</w:t>
            </w:r>
          </w:p>
        </w:tc>
      </w:tr>
      <w:tr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EDF4FB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6CA8"/>
                <w:sz w:val="18"/>
                <w:szCs w:val="18"/>
              </w:rPr>
              <w:t xml:space="preserve">KR-RH-01</w:t>
            </w:r>
          </w:p>
        </w:tc>
        <w:tc>
          <w:tcPr>
            <w:tcW w:type="dxa" w:w="7626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160"/>
            </w:tcMar>
          </w:tcPr>
          <w:p>
            <w:pPr>
              <w:spacing w:before="0" w:after="1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9"/>
                <w:szCs w:val="19"/>
              </w:rPr>
              <w:t xml:space="preserve">Mapeamento 100% posições críticas com risco de saída + plano de contenção ativo</w:t>
            </w:r>
          </w:p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0E8C6B"/>
                <w:sz w:val="18"/>
                <w:szCs w:val="18"/>
              </w:rPr>
              <w:t xml:space="preserve">Meta: 100% até Mar/2026 — revisão mensal</w:t>
            </w:r>
          </w:p>
        </w:tc>
      </w:tr>
      <w:tr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EDF4FB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6CA8"/>
                <w:sz w:val="18"/>
                <w:szCs w:val="18"/>
              </w:rPr>
              <w:t xml:space="preserve">KR-RH-02</w:t>
            </w:r>
          </w:p>
        </w:tc>
        <w:tc>
          <w:tcPr>
            <w:tcW w:type="dxa" w:w="7626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F5F9FF" w:val="clear"/>
            <w:tcMar>
              <w:top w:type="dxa" w:w="60"/>
              <w:left w:type="dxa" w:w="80"/>
              <w:bottom w:type="dxa" w:w="60"/>
              <w:right w:type="dxa" w:w="160"/>
            </w:tcMar>
          </w:tcPr>
          <w:p>
            <w:pPr>
              <w:spacing w:before="0" w:after="1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9"/>
                <w:szCs w:val="19"/>
              </w:rPr>
              <w:t xml:space="preserve">Churn 0–90 dias: reduzir saídas precoces por má contratação ou onboarding inadequado</w:t>
            </w:r>
          </w:p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0E8C6B"/>
                <w:sz w:val="18"/>
                <w:szCs w:val="18"/>
              </w:rPr>
              <w:t xml:space="preserve">Meta: ≤ 10% (mensal, YTD) após baseline Q1</w:t>
            </w:r>
          </w:p>
        </w:tc>
      </w:tr>
      <w:tr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EDF4FB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6CA8"/>
                <w:sz w:val="18"/>
                <w:szCs w:val="18"/>
              </w:rPr>
              <w:t xml:space="preserve">KR-RH-03</w:t>
            </w:r>
          </w:p>
        </w:tc>
        <w:tc>
          <w:tcPr>
            <w:tcW w:type="dxa" w:w="7626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160"/>
            </w:tcMar>
          </w:tcPr>
          <w:p>
            <w:pPr>
              <w:spacing w:before="0" w:after="1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9"/>
                <w:szCs w:val="19"/>
              </w:rPr>
              <w:t xml:space="preserve">Sucesso no 90º dia: permanência + critérios mínimos de integração e avaliação</w:t>
            </w:r>
          </w:p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0E8C6B"/>
                <w:sz w:val="18"/>
                <w:szCs w:val="18"/>
              </w:rPr>
              <w:t xml:space="preserve">Meta: ≥ 85% (mensal, YTD) após baseline Q1</w:t>
            </w:r>
          </w:p>
        </w:tc>
      </w:tr>
      <w:tr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EDF4FB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6CA8"/>
                <w:sz w:val="18"/>
                <w:szCs w:val="18"/>
              </w:rPr>
              <w:t xml:space="preserve">KR-RH-04</w:t>
            </w:r>
          </w:p>
        </w:tc>
        <w:tc>
          <w:tcPr>
            <w:tcW w:type="dxa" w:w="7626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F5F9FF" w:val="clear"/>
            <w:tcMar>
              <w:top w:type="dxa" w:w="60"/>
              <w:left w:type="dxa" w:w="80"/>
              <w:bottom w:type="dxa" w:w="60"/>
              <w:right w:type="dxa" w:w="160"/>
            </w:tcMar>
          </w:tcPr>
          <w:p>
            <w:pPr>
              <w:spacing w:before="0" w:after="1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9"/>
                <w:szCs w:val="19"/>
              </w:rPr>
              <w:t xml:space="preserve">TTF (Time-to-Fill): tempo médio de preenchimento de vaga por criticidade</w:t>
            </w:r>
          </w:p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0E8C6B"/>
                <w:sz w:val="18"/>
                <w:szCs w:val="18"/>
              </w:rPr>
              <w:t xml:space="preserve">Meta: Baseline Q1 → meta a calibrar por Q2</w:t>
            </w:r>
          </w:p>
        </w:tc>
      </w:tr>
    </w:tbl>
    <w:p>
      <w:pPr>
        <w:spacing w:before="0" w:after="0" w:line="240"/>
      </w:pPr>
      <w:r>
        <w:t xml:space="preserve"/>
      </w:r>
    </w:p>
    <w:p>
      <w:pPr>
        <w:pStyle w:val="Heading2"/>
        <w:spacing w:before="200" w:after="60" w:line="252"/>
      </w:pPr>
      <w:r>
        <w:rPr>
          <w:rFonts w:ascii="Calibri" w:cs="Calibri" w:eastAsia="Calibri" w:hAnsi="Calibri"/>
          <w:b/>
          <w:bCs/>
          <w:color w:val="163B5C"/>
          <w:sz w:val="22"/>
          <w:szCs w:val="22"/>
        </w:rPr>
        <w:t xml:space="preserve">OKR-RH-O2 — Aumentar maturidade de liderança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9026"/>
            <w:gridSpan w:val="2"/>
            <w:tcBorders>
              <w:top w:val="none" w:color="FFFFFF" w:sz="0"/>
              <w:left w:val="none" w:color="FFFFFF" w:sz="0"/>
              <w:bottom w:val="single" w:color="2980B9" w:sz="2"/>
              <w:right w:val="none" w:color="FFFFFF" w:sz="0"/>
            </w:tcBorders>
            <w:shd w:fill="0C234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2980B9"/>
                <w:sz w:val="20"/>
                <w:szCs w:val="20"/>
              </w:rPr>
              <w:t xml:space="preserve">OKR-RH-O2 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20"/>
                <w:szCs w:val="20"/>
              </w:rPr>
              <w:t xml:space="preserve">Escola de Líderes e rituais mínimos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EEF2F7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63B5C"/>
                <w:sz w:val="18"/>
                <w:szCs w:val="18"/>
              </w:rPr>
              <w:t xml:space="preserve">Objetivo</w:t>
            </w:r>
          </w:p>
        </w:tc>
        <w:tc>
          <w:tcPr>
            <w:tcW w:type="dxa" w:w="6826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EEF2F7" w:val="clear"/>
            <w:tcMar>
              <w:top w:type="dxa" w:w="60"/>
              <w:left w:type="dxa" w:w="80"/>
              <w:bottom w:type="dxa" w:w="60"/>
              <w:right w:type="dxa" w:w="160"/>
            </w:tcMar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8"/>
                <w:szCs w:val="18"/>
              </w:rPr>
              <w:t xml:space="preserve">O2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EEF2F7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63B5C"/>
                <w:sz w:val="18"/>
                <w:szCs w:val="18"/>
              </w:rPr>
              <w:t xml:space="preserve">Programa</w:t>
            </w:r>
          </w:p>
        </w:tc>
        <w:tc>
          <w:tcPr>
            <w:tcW w:type="dxa" w:w="6826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EEF2F7" w:val="clear"/>
            <w:tcMar>
              <w:top w:type="dxa" w:w="60"/>
              <w:left w:type="dxa" w:w="80"/>
              <w:bottom w:type="dxa" w:w="60"/>
              <w:right w:type="dxa" w:w="160"/>
            </w:tcMar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8"/>
                <w:szCs w:val="18"/>
              </w:rPr>
              <w:t xml:space="preserve">Aero Desenvolve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EEF2F7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63B5C"/>
                <w:sz w:val="18"/>
                <w:szCs w:val="18"/>
              </w:rPr>
              <w:t xml:space="preserve">Meta geral</w:t>
            </w:r>
          </w:p>
        </w:tc>
        <w:tc>
          <w:tcPr>
            <w:tcW w:type="dxa" w:w="6826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EEF2F7" w:val="clear"/>
            <w:tcMar>
              <w:top w:type="dxa" w:w="60"/>
              <w:left w:type="dxa" w:w="80"/>
              <w:bottom w:type="dxa" w:w="60"/>
              <w:right w:type="dxa" w:w="160"/>
            </w:tcMar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8"/>
                <w:szCs w:val="18"/>
              </w:rPr>
              <w:t xml:space="preserve">Aderência a rituais ≥ 85% até Jun/2026 e ≥ 95% até Dez/2026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EEF2F7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63B5C"/>
                <w:sz w:val="18"/>
                <w:szCs w:val="18"/>
              </w:rPr>
              <w:t xml:space="preserve">Baseline 2025</w:t>
            </w:r>
          </w:p>
        </w:tc>
        <w:tc>
          <w:tcPr>
            <w:tcW w:type="dxa" w:w="6826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EEF2F7" w:val="clear"/>
            <w:tcMar>
              <w:top w:type="dxa" w:w="60"/>
              <w:left w:type="dxa" w:w="80"/>
              <w:bottom w:type="dxa" w:w="60"/>
              <w:right w:type="dxa" w:w="160"/>
            </w:tcMar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8"/>
                <w:szCs w:val="18"/>
              </w:rPr>
              <w:t xml:space="preserve">Aderência 2025: não medida (baseline a apurar Q1)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EEF2F7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63B5C"/>
                <w:sz w:val="18"/>
                <w:szCs w:val="18"/>
              </w:rPr>
              <w:t xml:space="preserve">Deadline / marco</w:t>
            </w:r>
          </w:p>
        </w:tc>
        <w:tc>
          <w:tcPr>
            <w:tcW w:type="dxa" w:w="6826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EEF2F7" w:val="clear"/>
            <w:tcMar>
              <w:top w:type="dxa" w:w="60"/>
              <w:left w:type="dxa" w:w="80"/>
              <w:bottom w:type="dxa" w:w="60"/>
              <w:right w:type="dxa" w:w="160"/>
            </w:tcMar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8"/>
                <w:szCs w:val="18"/>
              </w:rPr>
              <w:t xml:space="preserve">Matrícula: Mar/2026 | Aderência 85%: Jun/2026 | 95%: Dez/2026</w:t>
            </w:r>
          </w:p>
        </w:tc>
      </w:tr>
      <w:tr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EDF4FB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6CA8"/>
                <w:sz w:val="18"/>
                <w:szCs w:val="18"/>
              </w:rPr>
              <w:t xml:space="preserve">KR-RH-05</w:t>
            </w:r>
          </w:p>
        </w:tc>
        <w:tc>
          <w:tcPr>
            <w:tcW w:type="dxa" w:w="7626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160"/>
            </w:tcMar>
          </w:tcPr>
          <w:p>
            <w:pPr>
              <w:spacing w:before="0" w:after="1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9"/>
                <w:szCs w:val="19"/>
              </w:rPr>
              <w:t xml:space="preserve">Escola de Líderes: 100% líderes elegíveis matriculados com calendário anual publicado</w:t>
            </w:r>
          </w:p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0E8C6B"/>
                <w:sz w:val="18"/>
                <w:szCs w:val="18"/>
              </w:rPr>
              <w:t xml:space="preserve">Meta: 100% matriculados até Mar/2026 | ≥ 90% presença média | NPS ≥ 60</w:t>
            </w:r>
          </w:p>
        </w:tc>
      </w:tr>
      <w:tr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EDF4FB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6CA8"/>
                <w:sz w:val="18"/>
                <w:szCs w:val="18"/>
              </w:rPr>
              <w:t xml:space="preserve">KR-RH-06</w:t>
            </w:r>
          </w:p>
        </w:tc>
        <w:tc>
          <w:tcPr>
            <w:tcW w:type="dxa" w:w="7626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F5F9FF" w:val="clear"/>
            <w:tcMar>
              <w:top w:type="dxa" w:w="60"/>
              <w:left w:type="dxa" w:w="80"/>
              <w:bottom w:type="dxa" w:w="60"/>
              <w:right w:type="dxa" w:w="160"/>
            </w:tcMar>
          </w:tcPr>
          <w:p>
            <w:pPr>
              <w:spacing w:before="0" w:after="1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9"/>
                <w:szCs w:val="19"/>
              </w:rPr>
              <w:t xml:space="preserve">Rituais mínimos (1:1, feedback, alinhamento de time): checklist com medição por líder/área</w:t>
            </w:r>
          </w:p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0E8C6B"/>
                <w:sz w:val="18"/>
                <w:szCs w:val="18"/>
              </w:rPr>
              <w:t xml:space="preserve">Meta: ≥ 85% até Jun/2026 | ≥ 95% até Dez/2026</w:t>
            </w:r>
          </w:p>
        </w:tc>
      </w:tr>
      <w:tr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EDF4FB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6CA8"/>
                <w:sz w:val="18"/>
                <w:szCs w:val="18"/>
              </w:rPr>
              <w:t xml:space="preserve">KR-RH-07</w:t>
            </w:r>
          </w:p>
        </w:tc>
        <w:tc>
          <w:tcPr>
            <w:tcW w:type="dxa" w:w="7626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160"/>
            </w:tcMar>
          </w:tcPr>
          <w:p>
            <w:pPr>
              <w:spacing w:before="0" w:after="1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9"/>
                <w:szCs w:val="19"/>
              </w:rPr>
              <w:t xml:space="preserve">Competências críticas (decisão, feedback, conflitos): módulos executados com evidência de aplicação</w:t>
            </w:r>
          </w:p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0E8C6B"/>
                <w:sz w:val="18"/>
                <w:szCs w:val="18"/>
              </w:rPr>
              <w:t xml:space="preserve">Meta: Mínimo 4 módulos no ano | avaliação pós-módulo com NPS ≥ 60</w:t>
            </w:r>
          </w:p>
        </w:tc>
      </w:tr>
    </w:tbl>
    <w:p>
      <w:pPr>
        <w:spacing w:before="0" w:after="0" w:line="240"/>
      </w:pPr>
      <w:r>
        <w:t xml:space="preserve"/>
      </w:r>
    </w:p>
    <w:p>
      <w:pPr>
        <w:pStyle w:val="Heading2"/>
        <w:spacing w:before="200" w:after="60" w:line="252"/>
      </w:pPr>
      <w:r>
        <w:rPr>
          <w:rFonts w:ascii="Calibri" w:cs="Calibri" w:eastAsia="Calibri" w:hAnsi="Calibri"/>
          <w:b/>
          <w:bCs/>
          <w:color w:val="163B5C"/>
          <w:sz w:val="22"/>
          <w:szCs w:val="22"/>
        </w:rPr>
        <w:t xml:space="preserve">OKR-RH-O3 — Corrigir os 4 gargalos de cultura operacional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9026"/>
            <w:gridSpan w:val="2"/>
            <w:tcBorders>
              <w:top w:val="none" w:color="FFFFFF" w:sz="0"/>
              <w:left w:val="none" w:color="FFFFFF" w:sz="0"/>
              <w:bottom w:val="single" w:color="2980B9" w:sz="2"/>
              <w:right w:val="none" w:color="FFFFFF" w:sz="0"/>
            </w:tcBorders>
            <w:shd w:fill="0C234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2980B9"/>
                <w:sz w:val="20"/>
                <w:szCs w:val="20"/>
              </w:rPr>
              <w:t xml:space="preserve">OKR-RH-O3 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20"/>
                <w:szCs w:val="20"/>
              </w:rPr>
              <w:t xml:space="preserve">Conecta, Reconhece e cultura operacional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EEF2F7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63B5C"/>
                <w:sz w:val="18"/>
                <w:szCs w:val="18"/>
              </w:rPr>
              <w:t xml:space="preserve">Objetivo</w:t>
            </w:r>
          </w:p>
        </w:tc>
        <w:tc>
          <w:tcPr>
            <w:tcW w:type="dxa" w:w="6826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EEF2F7" w:val="clear"/>
            <w:tcMar>
              <w:top w:type="dxa" w:w="60"/>
              <w:left w:type="dxa" w:w="80"/>
              <w:bottom w:type="dxa" w:w="60"/>
              <w:right w:type="dxa" w:w="160"/>
            </w:tcMar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8"/>
                <w:szCs w:val="18"/>
              </w:rPr>
              <w:t xml:space="preserve">O3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EEF2F7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63B5C"/>
                <w:sz w:val="18"/>
                <w:szCs w:val="18"/>
              </w:rPr>
              <w:t xml:space="preserve">Programa</w:t>
            </w:r>
          </w:p>
        </w:tc>
        <w:tc>
          <w:tcPr>
            <w:tcW w:type="dxa" w:w="6826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EEF2F7" w:val="clear"/>
            <w:tcMar>
              <w:top w:type="dxa" w:w="60"/>
              <w:left w:type="dxa" w:w="80"/>
              <w:bottom w:type="dxa" w:w="60"/>
              <w:right w:type="dxa" w:w="160"/>
            </w:tcMar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8"/>
                <w:szCs w:val="18"/>
              </w:rPr>
              <w:t xml:space="preserve">Aero Conecta + Aero Reconhece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EEF2F7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63B5C"/>
                <w:sz w:val="18"/>
                <w:szCs w:val="18"/>
              </w:rPr>
              <w:t xml:space="preserve">Meta geral</w:t>
            </w:r>
          </w:p>
        </w:tc>
        <w:tc>
          <w:tcPr>
            <w:tcW w:type="dxa" w:w="6826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EEF2F7" w:val="clear"/>
            <w:tcMar>
              <w:top w:type="dxa" w:w="60"/>
              <w:left w:type="dxa" w:w="80"/>
              <w:bottom w:type="dxa" w:w="60"/>
              <w:right w:type="dxa" w:w="160"/>
            </w:tcMar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8"/>
                <w:szCs w:val="18"/>
              </w:rPr>
              <w:t xml:space="preserve">Elevar os 4 indicadores de gargalo nos pulsos trimestrais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EEF2F7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63B5C"/>
                <w:sz w:val="18"/>
                <w:szCs w:val="18"/>
              </w:rPr>
              <w:t xml:space="preserve">Baseline 2025</w:t>
            </w:r>
          </w:p>
        </w:tc>
        <w:tc>
          <w:tcPr>
            <w:tcW w:type="dxa" w:w="6826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EEF2F7" w:val="clear"/>
            <w:tcMar>
              <w:top w:type="dxa" w:w="60"/>
              <w:left w:type="dxa" w:w="80"/>
              <w:bottom w:type="dxa" w:w="60"/>
              <w:right w:type="dxa" w:w="160"/>
            </w:tcMar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8"/>
                <w:szCs w:val="18"/>
              </w:rPr>
              <w:t xml:space="preserve">Decisões 52% | Colaboração 59% | Onboarding 63% | Reconhecimento 67–70%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EEF2F7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63B5C"/>
                <w:sz w:val="18"/>
                <w:szCs w:val="18"/>
              </w:rPr>
              <w:t xml:space="preserve">Deadline / marco</w:t>
            </w:r>
          </w:p>
        </w:tc>
        <w:tc>
          <w:tcPr>
            <w:tcW w:type="dxa" w:w="6826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EEF2F7" w:val="clear"/>
            <w:tcMar>
              <w:top w:type="dxa" w:w="60"/>
              <w:left w:type="dxa" w:w="80"/>
              <w:bottom w:type="dxa" w:w="60"/>
              <w:right w:type="dxa" w:w="160"/>
            </w:tcMar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8"/>
                <w:szCs w:val="18"/>
              </w:rPr>
              <w:t xml:space="preserve">Metas intermediárias Q3 | Metas finais Q4 | Pulsos: trimestral</w:t>
            </w:r>
          </w:p>
        </w:tc>
      </w:tr>
      <w:tr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EDF4FB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6CA8"/>
                <w:sz w:val="18"/>
                <w:szCs w:val="18"/>
              </w:rPr>
              <w:t xml:space="preserve">KR-RH-08</w:t>
            </w:r>
          </w:p>
        </w:tc>
        <w:tc>
          <w:tcPr>
            <w:tcW w:type="dxa" w:w="7626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160"/>
            </w:tcMar>
          </w:tcPr>
          <w:p>
            <w:pPr>
              <w:spacing w:before="0" w:after="1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9"/>
                <w:szCs w:val="19"/>
              </w:rPr>
              <w:t xml:space="preserve">Informado sobre decisões/mudanças: log de decisões com cadência e SLA</w:t>
            </w:r>
          </w:p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0E8C6B"/>
                <w:sz w:val="18"/>
                <w:szCs w:val="18"/>
              </w:rPr>
              <w:t xml:space="preserve">Meta: ≥ 70% (Q3) → ≥ 75% (Q4) no pulso</w:t>
            </w:r>
          </w:p>
        </w:tc>
      </w:tr>
      <w:tr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EDF4FB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6CA8"/>
                <w:sz w:val="18"/>
                <w:szCs w:val="18"/>
              </w:rPr>
              <w:t xml:space="preserve">KR-RH-09</w:t>
            </w:r>
          </w:p>
        </w:tc>
        <w:tc>
          <w:tcPr>
            <w:tcW w:type="dxa" w:w="7626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F5F9FF" w:val="clear"/>
            <w:tcMar>
              <w:top w:type="dxa" w:w="60"/>
              <w:left w:type="dxa" w:w="80"/>
              <w:bottom w:type="dxa" w:w="60"/>
              <w:right w:type="dxa" w:w="160"/>
            </w:tcMar>
          </w:tcPr>
          <w:p>
            <w:pPr>
              <w:spacing w:before="0" w:after="1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9"/>
                <w:szCs w:val="19"/>
              </w:rPr>
              <w:t xml:space="preserve">Colaboração interáreas: encontros interáreas com pauta, ações e registro</w:t>
            </w:r>
          </w:p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0E8C6B"/>
                <w:sz w:val="18"/>
                <w:szCs w:val="18"/>
              </w:rPr>
              <w:t xml:space="preserve">Meta: ≥ 70% (Q3) → ≥ 75% (Q4) no pulso | 6 encontros/ano</w:t>
            </w:r>
          </w:p>
        </w:tc>
      </w:tr>
      <w:tr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EDF4FB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6CA8"/>
                <w:sz w:val="18"/>
                <w:szCs w:val="18"/>
              </w:rPr>
              <w:t xml:space="preserve">KR-RH-10</w:t>
            </w:r>
          </w:p>
        </w:tc>
        <w:tc>
          <w:tcPr>
            <w:tcW w:type="dxa" w:w="7626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160"/>
            </w:tcMar>
          </w:tcPr>
          <w:p>
            <w:pPr>
              <w:spacing w:before="0" w:after="1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9"/>
                <w:szCs w:val="19"/>
              </w:rPr>
              <w:t xml:space="preserve">Onboarding e suporte a novos: onboarding 45/90 implantado por função com avaliação</w:t>
            </w:r>
          </w:p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0E8C6B"/>
                <w:sz w:val="18"/>
                <w:szCs w:val="18"/>
              </w:rPr>
              <w:t xml:space="preserve">Meta: ≥ 75% (Q3) → ≥ 80% (Q4) no pulso</w:t>
            </w:r>
          </w:p>
        </w:tc>
      </w:tr>
      <w:tr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EDF4FB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6CA8"/>
                <w:sz w:val="18"/>
                <w:szCs w:val="18"/>
              </w:rPr>
              <w:t xml:space="preserve">KR-RH-11</w:t>
            </w:r>
          </w:p>
        </w:tc>
        <w:tc>
          <w:tcPr>
            <w:tcW w:type="dxa" w:w="7626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F5F9FF" w:val="clear"/>
            <w:tcMar>
              <w:top w:type="dxa" w:w="60"/>
              <w:left w:type="dxa" w:w="80"/>
              <w:bottom w:type="dxa" w:w="60"/>
              <w:right w:type="dxa" w:w="160"/>
            </w:tcMar>
          </w:tcPr>
          <w:p>
            <w:pPr>
              <w:spacing w:before="0" w:after="1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9"/>
                <w:szCs w:val="19"/>
              </w:rPr>
              <w:t xml:space="preserve">Reconhecimento: ritual mensal com critério público e participação dos líderes</w:t>
            </w:r>
          </w:p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0E8C6B"/>
                <w:sz w:val="18"/>
                <w:szCs w:val="18"/>
              </w:rPr>
              <w:t xml:space="preserve">Meta: ≥ 78% (Q3) → ≥ 82% (Q4) no pulso | 12 ciclos/ano</w:t>
            </w:r>
          </w:p>
        </w:tc>
      </w:tr>
      <w:tr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EDF4FB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6CA8"/>
                <w:sz w:val="18"/>
                <w:szCs w:val="18"/>
              </w:rPr>
              <w:t xml:space="preserve">KR-RH-12</w:t>
            </w:r>
          </w:p>
        </w:tc>
        <w:tc>
          <w:tcPr>
            <w:tcW w:type="dxa" w:w="7626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160"/>
            </w:tcMar>
          </w:tcPr>
          <w:p>
            <w:pPr>
              <w:spacing w:before="0" w:after="1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9"/>
                <w:szCs w:val="19"/>
              </w:rPr>
              <w:t xml:space="preserve">Engajamento macro (pulso trimestral): evolução sustentada da base 2025</w:t>
            </w:r>
          </w:p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0E8C6B"/>
                <w:sz w:val="18"/>
                <w:szCs w:val="18"/>
              </w:rPr>
              <w:t xml:space="preserve">Meta: ≥ 82% (pulsos trimestrais) | ≥ 85% (anual)</w:t>
            </w:r>
          </w:p>
        </w:tc>
      </w:tr>
    </w:tbl>
    <w:p>
      <w:pPr>
        <w:spacing w:before="0" w:after="0" w:line="240"/>
      </w:pPr>
      <w:r>
        <w:t xml:space="preserve"/>
      </w:r>
    </w:p>
    <w:p>
      <w:pPr>
        <w:pStyle w:val="Heading2"/>
        <w:spacing w:before="200" w:after="60" w:line="252"/>
      </w:pPr>
      <w:r>
        <w:rPr>
          <w:rFonts w:ascii="Calibri" w:cs="Calibri" w:eastAsia="Calibri" w:hAnsi="Calibri"/>
          <w:b/>
          <w:bCs/>
          <w:color w:val="163B5C"/>
          <w:sz w:val="22"/>
          <w:szCs w:val="22"/>
        </w:rPr>
        <w:t xml:space="preserve">OKR-RH-O4 — Institucionalizar gestão de desempenho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9026"/>
            <w:gridSpan w:val="2"/>
            <w:tcBorders>
              <w:top w:val="none" w:color="FFFFFF" w:sz="0"/>
              <w:left w:val="none" w:color="FFFFFF" w:sz="0"/>
              <w:bottom w:val="single" w:color="2980B9" w:sz="2"/>
              <w:right w:val="none" w:color="FFFFFF" w:sz="0"/>
            </w:tcBorders>
            <w:shd w:fill="0C234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2980B9"/>
                <w:sz w:val="20"/>
                <w:szCs w:val="20"/>
              </w:rPr>
              <w:t xml:space="preserve">OKR-RH-O4 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20"/>
                <w:szCs w:val="20"/>
              </w:rPr>
              <w:t xml:space="preserve">Desempenho, calibragem e PDIs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EEF2F7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63B5C"/>
                <w:sz w:val="18"/>
                <w:szCs w:val="18"/>
              </w:rPr>
              <w:t xml:space="preserve">Objetivo</w:t>
            </w:r>
          </w:p>
        </w:tc>
        <w:tc>
          <w:tcPr>
            <w:tcW w:type="dxa" w:w="6826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EEF2F7" w:val="clear"/>
            <w:tcMar>
              <w:top w:type="dxa" w:w="60"/>
              <w:left w:type="dxa" w:w="80"/>
              <w:bottom w:type="dxa" w:w="60"/>
              <w:right w:type="dxa" w:w="160"/>
            </w:tcMar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8"/>
                <w:szCs w:val="18"/>
              </w:rPr>
              <w:t xml:space="preserve">O4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EEF2F7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63B5C"/>
                <w:sz w:val="18"/>
                <w:szCs w:val="18"/>
              </w:rPr>
              <w:t xml:space="preserve">Programa</w:t>
            </w:r>
          </w:p>
        </w:tc>
        <w:tc>
          <w:tcPr>
            <w:tcW w:type="dxa" w:w="6826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EEF2F7" w:val="clear"/>
            <w:tcMar>
              <w:top w:type="dxa" w:w="60"/>
              <w:left w:type="dxa" w:w="80"/>
              <w:bottom w:type="dxa" w:w="60"/>
              <w:right w:type="dxa" w:w="160"/>
            </w:tcMar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8"/>
                <w:szCs w:val="18"/>
              </w:rPr>
              <w:t xml:space="preserve">Aero Desenvolve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EEF2F7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63B5C"/>
                <w:sz w:val="18"/>
                <w:szCs w:val="18"/>
              </w:rPr>
              <w:t xml:space="preserve">Meta geral</w:t>
            </w:r>
          </w:p>
        </w:tc>
        <w:tc>
          <w:tcPr>
            <w:tcW w:type="dxa" w:w="6826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EEF2F7" w:val="clear"/>
            <w:tcMar>
              <w:top w:type="dxa" w:w="60"/>
              <w:left w:type="dxa" w:w="80"/>
              <w:bottom w:type="dxa" w:w="60"/>
              <w:right w:type="dxa" w:w="160"/>
            </w:tcMar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8"/>
                <w:szCs w:val="18"/>
              </w:rPr>
              <w:t xml:space="preserve">100% das áreas com metas + ciclo completo até Set/2026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EEF2F7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63B5C"/>
                <w:sz w:val="18"/>
                <w:szCs w:val="18"/>
              </w:rPr>
              <w:t xml:space="preserve">Baseline 2025</w:t>
            </w:r>
          </w:p>
        </w:tc>
        <w:tc>
          <w:tcPr>
            <w:tcW w:type="dxa" w:w="6826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EEF2F7" w:val="clear"/>
            <w:tcMar>
              <w:top w:type="dxa" w:w="60"/>
              <w:left w:type="dxa" w:w="80"/>
              <w:bottom w:type="dxa" w:w="60"/>
              <w:right w:type="dxa" w:w="160"/>
            </w:tcMar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8"/>
                <w:szCs w:val="18"/>
              </w:rPr>
              <w:t xml:space="preserve">Gestão de desempenho: ausente — a ser instalado em 2026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EEF2F7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63B5C"/>
                <w:sz w:val="18"/>
                <w:szCs w:val="18"/>
              </w:rPr>
              <w:t xml:space="preserve">Deadline / marco</w:t>
            </w:r>
          </w:p>
        </w:tc>
        <w:tc>
          <w:tcPr>
            <w:tcW w:type="dxa" w:w="6826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EEF2F7" w:val="clear"/>
            <w:tcMar>
              <w:top w:type="dxa" w:w="60"/>
              <w:left w:type="dxa" w:w="80"/>
              <w:bottom w:type="dxa" w:w="60"/>
              <w:right w:type="dxa" w:w="160"/>
            </w:tcMar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8"/>
                <w:szCs w:val="18"/>
              </w:rPr>
              <w:t xml:space="preserve">Metas definidas: Mar/2026 | Avaliações: Set/2026 | PDIs críticos: Jun/2026</w:t>
            </w:r>
          </w:p>
        </w:tc>
      </w:tr>
      <w:tr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EDF4FB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6CA8"/>
                <w:sz w:val="18"/>
                <w:szCs w:val="18"/>
              </w:rPr>
              <w:t xml:space="preserve">KR-RH-13</w:t>
            </w:r>
          </w:p>
        </w:tc>
        <w:tc>
          <w:tcPr>
            <w:tcW w:type="dxa" w:w="7626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160"/>
            </w:tcMar>
          </w:tcPr>
          <w:p>
            <w:pPr>
              <w:spacing w:before="0" w:after="1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9"/>
                <w:szCs w:val="19"/>
              </w:rPr>
              <w:t xml:space="preserve">Framework de desempenho (metas + competências) publicado e calendário anual comunicado</w:t>
            </w:r>
          </w:p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0E8C6B"/>
                <w:sz w:val="18"/>
                <w:szCs w:val="18"/>
              </w:rPr>
              <w:t xml:space="preserve">Meta: Publicado e comunicado até Mar/2026</w:t>
            </w:r>
          </w:p>
        </w:tc>
      </w:tr>
      <w:tr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EDF4FB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6CA8"/>
                <w:sz w:val="18"/>
                <w:szCs w:val="18"/>
              </w:rPr>
              <w:t xml:space="preserve">KR-RH-14</w:t>
            </w:r>
          </w:p>
        </w:tc>
        <w:tc>
          <w:tcPr>
            <w:tcW w:type="dxa" w:w="7626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F5F9FF" w:val="clear"/>
            <w:tcMar>
              <w:top w:type="dxa" w:w="60"/>
              <w:left w:type="dxa" w:w="80"/>
              <w:bottom w:type="dxa" w:w="60"/>
              <w:right w:type="dxa" w:w="160"/>
            </w:tcMar>
          </w:tcPr>
          <w:p>
            <w:pPr>
              <w:spacing w:before="0" w:after="1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9"/>
                <w:szCs w:val="19"/>
              </w:rPr>
              <w:t xml:space="preserve">100% das áreas com metas definidas, documentadas e comunicadas</w:t>
            </w:r>
          </w:p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0E8C6B"/>
                <w:sz w:val="18"/>
                <w:szCs w:val="18"/>
              </w:rPr>
              <w:t xml:space="preserve">Meta: 100% até Mar/2026</w:t>
            </w:r>
          </w:p>
        </w:tc>
      </w:tr>
      <w:tr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EDF4FB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6CA8"/>
                <w:sz w:val="18"/>
                <w:szCs w:val="18"/>
              </w:rPr>
              <w:t xml:space="preserve">KR-RH-15</w:t>
            </w:r>
          </w:p>
        </w:tc>
        <w:tc>
          <w:tcPr>
            <w:tcW w:type="dxa" w:w="7626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160"/>
            </w:tcMar>
          </w:tcPr>
          <w:p>
            <w:pPr>
              <w:spacing w:before="0" w:after="1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9"/>
                <w:szCs w:val="19"/>
              </w:rPr>
              <w:t xml:space="preserve">Avaliações concluídas no ciclo principal (metas + competências)</w:t>
            </w:r>
          </w:p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0E8C6B"/>
                <w:sz w:val="18"/>
                <w:szCs w:val="18"/>
              </w:rPr>
              <w:t xml:space="preserve">Meta: ≥ 95% até Set/2026</w:t>
            </w:r>
          </w:p>
        </w:tc>
      </w:tr>
      <w:tr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EDF4FB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6CA8"/>
                <w:sz w:val="18"/>
                <w:szCs w:val="18"/>
              </w:rPr>
              <w:t xml:space="preserve">KR-RH-16</w:t>
            </w:r>
          </w:p>
        </w:tc>
        <w:tc>
          <w:tcPr>
            <w:tcW w:type="dxa" w:w="7626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F5F9FF" w:val="clear"/>
            <w:tcMar>
              <w:top w:type="dxa" w:w="60"/>
              <w:left w:type="dxa" w:w="80"/>
              <w:bottom w:type="dxa" w:w="60"/>
              <w:right w:type="dxa" w:w="160"/>
            </w:tcMar>
          </w:tcPr>
          <w:p>
            <w:pPr>
              <w:spacing w:before="0" w:after="1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9"/>
                <w:szCs w:val="19"/>
              </w:rPr>
              <w:t xml:space="preserve">Nine Box + calibragem de talentos: 100% áreas elegíveis concluídas</w:t>
            </w:r>
          </w:p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0E8C6B"/>
                <w:sz w:val="18"/>
                <w:szCs w:val="18"/>
              </w:rPr>
              <w:t xml:space="preserve">Meta: 100% até Jul/2026</w:t>
            </w:r>
          </w:p>
        </w:tc>
      </w:tr>
      <w:tr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EDF4FB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6CA8"/>
                <w:sz w:val="18"/>
                <w:szCs w:val="18"/>
              </w:rPr>
              <w:t xml:space="preserve">KR-RH-17</w:t>
            </w:r>
          </w:p>
        </w:tc>
        <w:tc>
          <w:tcPr>
            <w:tcW w:type="dxa" w:w="7626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160"/>
            </w:tcMar>
          </w:tcPr>
          <w:p>
            <w:pPr>
              <w:spacing w:before="0" w:after="1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9"/>
                <w:szCs w:val="19"/>
              </w:rPr>
              <w:t xml:space="preserve">PDIs: posições críticas com plano ativo | demais elegíveis com PDI até Dez/2026</w:t>
            </w:r>
          </w:p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0E8C6B"/>
                <w:sz w:val="18"/>
                <w:szCs w:val="18"/>
              </w:rPr>
              <w:t xml:space="preserve">Meta: 100% críticos até Jun/2026 | ≥ 80% demais até Dez/2026 | ≥ 90% revisões no prazo</w:t>
            </w:r>
          </w:p>
        </w:tc>
      </w:tr>
    </w:tbl>
    <w:p>
      <w:pPr>
        <w:spacing w:before="0" w:after="0" w:line="240"/>
      </w:pPr>
      <w:r>
        <w:t xml:space="preserve"/>
      </w:r>
    </w:p>
    <w:p>
      <w:pPr>
        <w:pStyle w:val="Heading2"/>
        <w:spacing w:before="200" w:after="60" w:line="252"/>
      </w:pPr>
      <w:r>
        <w:rPr>
          <w:rFonts w:ascii="Calibri" w:cs="Calibri" w:eastAsia="Calibri" w:hAnsi="Calibri"/>
          <w:b/>
          <w:bCs/>
          <w:color w:val="163B5C"/>
          <w:sz w:val="22"/>
          <w:szCs w:val="22"/>
        </w:rPr>
        <w:t xml:space="preserve">OKR-RH-O5 — Consolidar marca empregadora e GPTW como disciplina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9026"/>
            <w:gridSpan w:val="2"/>
            <w:tcBorders>
              <w:top w:val="none" w:color="FFFFFF" w:sz="0"/>
              <w:left w:val="none" w:color="FFFFFF" w:sz="0"/>
              <w:bottom w:val="single" w:color="2980B9" w:sz="2"/>
              <w:right w:val="none" w:color="FFFFFF" w:sz="0"/>
            </w:tcBorders>
            <w:shd w:fill="0C234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2980B9"/>
                <w:sz w:val="20"/>
                <w:szCs w:val="20"/>
              </w:rPr>
              <w:t xml:space="preserve">OKR-RH-O5 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20"/>
                <w:szCs w:val="20"/>
              </w:rPr>
              <w:t xml:space="preserve">GPTW, marca empregadora e People Analytics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EEF2F7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63B5C"/>
                <w:sz w:val="18"/>
                <w:szCs w:val="18"/>
              </w:rPr>
              <w:t xml:space="preserve">Objetivo</w:t>
            </w:r>
          </w:p>
        </w:tc>
        <w:tc>
          <w:tcPr>
            <w:tcW w:type="dxa" w:w="6826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EEF2F7" w:val="clear"/>
            <w:tcMar>
              <w:top w:type="dxa" w:w="60"/>
              <w:left w:type="dxa" w:w="80"/>
              <w:bottom w:type="dxa" w:w="60"/>
              <w:right w:type="dxa" w:w="160"/>
            </w:tcMar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8"/>
                <w:szCs w:val="18"/>
              </w:rPr>
              <w:t xml:space="preserve">O5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EEF2F7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63B5C"/>
                <w:sz w:val="18"/>
                <w:szCs w:val="18"/>
              </w:rPr>
              <w:t xml:space="preserve">Programa</w:t>
            </w:r>
          </w:p>
        </w:tc>
        <w:tc>
          <w:tcPr>
            <w:tcW w:type="dxa" w:w="6826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EEF2F7" w:val="clear"/>
            <w:tcMar>
              <w:top w:type="dxa" w:w="60"/>
              <w:left w:type="dxa" w:w="80"/>
              <w:bottom w:type="dxa" w:w="60"/>
              <w:right w:type="dxa" w:w="160"/>
            </w:tcMar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8"/>
                <w:szCs w:val="18"/>
              </w:rPr>
              <w:t xml:space="preserve">Aero Inova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EEF2F7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63B5C"/>
                <w:sz w:val="18"/>
                <w:szCs w:val="18"/>
              </w:rPr>
              <w:t xml:space="preserve">Meta geral</w:t>
            </w:r>
          </w:p>
        </w:tc>
        <w:tc>
          <w:tcPr>
            <w:tcW w:type="dxa" w:w="6826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EEF2F7" w:val="clear"/>
            <w:tcMar>
              <w:top w:type="dxa" w:w="60"/>
              <w:left w:type="dxa" w:w="80"/>
              <w:bottom w:type="dxa" w:w="60"/>
              <w:right w:type="dxa" w:w="160"/>
            </w:tcMar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8"/>
                <w:szCs w:val="18"/>
              </w:rPr>
              <w:t xml:space="preserve">Certificação GPTW em 2026 | readiness ≥ 95% até Nov/2026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EEF2F7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63B5C"/>
                <w:sz w:val="18"/>
                <w:szCs w:val="18"/>
              </w:rPr>
              <w:t xml:space="preserve">Baseline 2025</w:t>
            </w:r>
          </w:p>
        </w:tc>
        <w:tc>
          <w:tcPr>
            <w:tcW w:type="dxa" w:w="6826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EEF2F7" w:val="clear"/>
            <w:tcMar>
              <w:top w:type="dxa" w:w="60"/>
              <w:left w:type="dxa" w:w="80"/>
              <w:bottom w:type="dxa" w:w="60"/>
              <w:right w:type="dxa" w:w="160"/>
            </w:tcMar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8"/>
                <w:szCs w:val="18"/>
              </w:rPr>
              <w:t xml:space="preserve">GPTW: sem plano formal. People Analytics: ausente.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EEF2F7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63B5C"/>
                <w:sz w:val="18"/>
                <w:szCs w:val="18"/>
              </w:rPr>
              <w:t xml:space="preserve">Deadline / marco</w:t>
            </w:r>
          </w:p>
        </w:tc>
        <w:tc>
          <w:tcPr>
            <w:tcW w:type="dxa" w:w="6826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EEF2F7" w:val="clear"/>
            <w:tcMar>
              <w:top w:type="dxa" w:w="60"/>
              <w:left w:type="dxa" w:w="80"/>
              <w:bottom w:type="dxa" w:w="60"/>
              <w:right w:type="dxa" w:w="160"/>
            </w:tcMar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8"/>
                <w:szCs w:val="18"/>
              </w:rPr>
              <w:t xml:space="preserve">Plano GPTW v1.0: Mar/2026 | Readiness ≥ 90%: Set/2026 | Certificação: 2026</w:t>
            </w:r>
          </w:p>
        </w:tc>
      </w:tr>
      <w:tr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EDF4FB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6CA8"/>
                <w:sz w:val="18"/>
                <w:szCs w:val="18"/>
              </w:rPr>
              <w:t xml:space="preserve">KR-RH-18</w:t>
            </w:r>
          </w:p>
        </w:tc>
        <w:tc>
          <w:tcPr>
            <w:tcW w:type="dxa" w:w="7626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160"/>
            </w:tcMar>
          </w:tcPr>
          <w:p>
            <w:pPr>
              <w:spacing w:before="0" w:after="1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9"/>
                <w:szCs w:val="19"/>
              </w:rPr>
              <w:t xml:space="preserve">Plano GPTW anual v1.0 publicado: gaps priorizados, owners por gap, evidências esperadas e cronograma</w:t>
            </w:r>
          </w:p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0E8C6B"/>
                <w:sz w:val="18"/>
                <w:szCs w:val="18"/>
              </w:rPr>
              <w:t xml:space="preserve">Meta: Publicado até Mar/2026</w:t>
            </w:r>
          </w:p>
        </w:tc>
      </w:tr>
      <w:tr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EDF4FB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6CA8"/>
                <w:sz w:val="18"/>
                <w:szCs w:val="18"/>
              </w:rPr>
              <w:t xml:space="preserve">KR-RH-19</w:t>
            </w:r>
          </w:p>
        </w:tc>
        <w:tc>
          <w:tcPr>
            <w:tcW w:type="dxa" w:w="7626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F5F9FF" w:val="clear"/>
            <w:tcMar>
              <w:top w:type="dxa" w:w="60"/>
              <w:left w:type="dxa" w:w="80"/>
              <w:bottom w:type="dxa" w:w="60"/>
              <w:right w:type="dxa" w:w="160"/>
            </w:tcMar>
          </w:tcPr>
          <w:p>
            <w:pPr>
              <w:spacing w:before="0" w:after="1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9"/>
                <w:szCs w:val="19"/>
              </w:rPr>
              <w:t xml:space="preserve">GPTW readiness (checklist trimestral): evolução sistemática por gap</w:t>
            </w:r>
          </w:p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0E8C6B"/>
                <w:sz w:val="18"/>
                <w:szCs w:val="18"/>
              </w:rPr>
              <w:t xml:space="preserve">Meta: ≥ 90% até Set/2026 | ≥ 95% até Nov/2026</w:t>
            </w:r>
          </w:p>
        </w:tc>
      </w:tr>
      <w:tr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EDF4FB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6CA8"/>
                <w:sz w:val="18"/>
                <w:szCs w:val="18"/>
              </w:rPr>
              <w:t xml:space="preserve">KR-RH-20</w:t>
            </w:r>
          </w:p>
        </w:tc>
        <w:tc>
          <w:tcPr>
            <w:tcW w:type="dxa" w:w="7626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160"/>
            </w:tcMar>
          </w:tcPr>
          <w:p>
            <w:pPr>
              <w:spacing w:before="0" w:after="1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9"/>
                <w:szCs w:val="19"/>
              </w:rPr>
              <w:t xml:space="preserve">Certificação GPTW: ciclo executado com documentação e resultado formal</w:t>
            </w:r>
          </w:p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0E8C6B"/>
                <w:sz w:val="18"/>
                <w:szCs w:val="18"/>
              </w:rPr>
              <w:t xml:space="preserve">Meta: Certificação obtida no ciclo definido no plano (marco 2026)</w:t>
            </w:r>
          </w:p>
        </w:tc>
      </w:tr>
      <w:tr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EDF4FB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6CA8"/>
                <w:sz w:val="18"/>
                <w:szCs w:val="18"/>
              </w:rPr>
              <w:t xml:space="preserve">KR-RH-21</w:t>
            </w:r>
          </w:p>
        </w:tc>
        <w:tc>
          <w:tcPr>
            <w:tcW w:type="dxa" w:w="7626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F5F9FF" w:val="clear"/>
            <w:tcMar>
              <w:top w:type="dxa" w:w="60"/>
              <w:left w:type="dxa" w:w="80"/>
              <w:bottom w:type="dxa" w:w="60"/>
              <w:right w:type="dxa" w:w="160"/>
            </w:tcMar>
          </w:tcPr>
          <w:p>
            <w:pPr>
              <w:spacing w:before="0" w:after="1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9"/>
                <w:szCs w:val="19"/>
              </w:rPr>
              <w:t xml:space="preserve">Dicionário de KPIs de RH v1.0: fórmula, fonte e dono para cada indicador</w:t>
            </w:r>
          </w:p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0E8C6B"/>
                <w:sz w:val="18"/>
                <w:szCs w:val="18"/>
              </w:rPr>
              <w:t xml:space="preserve">Meta: 100% KPIs mínimos com dono/fonte/fórmula até Mar/2026</w:t>
            </w:r>
          </w:p>
        </w:tc>
      </w:tr>
      <w:tr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EDF4FB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6CA8"/>
                <w:sz w:val="18"/>
                <w:szCs w:val="18"/>
              </w:rPr>
              <w:t xml:space="preserve">KR-RH-22</w:t>
            </w:r>
          </w:p>
        </w:tc>
        <w:tc>
          <w:tcPr>
            <w:tcW w:type="dxa" w:w="7626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160"/>
            </w:tcMar>
          </w:tcPr>
          <w:p>
            <w:pPr>
              <w:spacing w:before="0" w:after="1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9"/>
                <w:szCs w:val="19"/>
              </w:rPr>
              <w:t xml:space="preserve">Painel RH 1.0 ativo: alimentação mensal com SLA e geração de decisão no MBR</w:t>
            </w:r>
          </w:p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0E8C6B"/>
                <w:sz w:val="18"/>
                <w:szCs w:val="18"/>
              </w:rPr>
              <w:t xml:space="preserve">Meta: Painel ativo até Mai/2026 | ≥ 80% ações do MBR executadas/mês</w:t>
            </w:r>
          </w:p>
        </w:tc>
      </w:tr>
    </w:tbl>
    <w:p>
      <w:pPr>
        <w:spacing w:before="0" w:after="0" w:line="240"/>
      </w:pPr>
      <w:r>
        <w:t xml:space="preserve"/>
      </w:r>
    </w:p>
    <w:p>
      <w:pPr>
        <w:pStyle w:val="Heading1"/>
        <w:pBdr>
          <w:bottom w:val="single" w:color="2980B9" w:sz="3" w:space="2"/>
        </w:pBdr>
        <w:spacing w:before="280" w:after="80" w:line="260"/>
      </w:pPr>
      <w:r>
        <w:rPr>
          <w:rFonts w:ascii="Calibri Light" w:cs="Calibri Light" w:eastAsia="Calibri Light" w:hAnsi="Calibri Light"/>
          <w:color w:val="2980B9"/>
          <w:sz w:val="30"/>
          <w:szCs w:val="30"/>
        </w:rPr>
        <w:t xml:space="preserve">6  </w:t>
      </w:r>
      <w:r>
        <w:rPr>
          <w:rFonts w:ascii="Calibri Light" w:cs="Calibri Light" w:eastAsia="Calibri Light" w:hAnsi="Calibri Light"/>
          <w:color w:val="0C2340"/>
          <w:sz w:val="30"/>
          <w:szCs w:val="30"/>
        </w:rPr>
        <w:t xml:space="preserve">Placar do MBR — KPIs de acompanhamento</w:t>
      </w:r>
    </w:p>
    <w:p>
      <w:pPr>
        <w:spacing w:before="40" w:after="40" w:line="264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334155"/>
          <w:sz w:val="20"/>
          <w:szCs w:val="20"/>
        </w:rPr>
        <w:t xml:space="preserve">Os KPIs abaixo são o conjunto mínimo não negociável do MBR RH. Cada indicador tem dono, fórmula e fonte definidos no dicionário de KPIs (KR-RH-21).</w:t>
      </w:r>
    </w:p>
    <w:p>
      <w:pPr>
        <w:spacing w:before="0" w:after="0" w:line="24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26"/>
        <w:gridCol w:w="1600"/>
        <w:gridCol w:w="1800"/>
      </w:tblGrid>
      <w:tr>
        <w:trPr>
          <w:tblHeader/>
        </w:trP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2980B9" w:sz="2"/>
              <w:right w:val="none" w:color="FFFFFF" w:sz="0"/>
            </w:tcBorders>
            <w:shd w:fill="0C234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/>
                <w:color w:val="FFFFFF"/>
                <w:sz w:val="18"/>
                <w:szCs w:val="18"/>
              </w:rPr>
              <w:t xml:space="preserve">KPI</w:t>
            </w:r>
          </w:p>
        </w:tc>
        <w:tc>
          <w:tcPr>
            <w:tcW w:type="dxa" w:w="2826"/>
            <w:tcBorders>
              <w:top w:val="none" w:color="FFFFFF" w:sz="0"/>
              <w:left w:val="none" w:color="FFFFFF" w:sz="0"/>
              <w:bottom w:val="single" w:color="2980B9" w:sz="2"/>
              <w:right w:val="none" w:color="FFFFFF" w:sz="0"/>
            </w:tcBorders>
            <w:shd w:fill="0C234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/>
                <w:color w:val="FFFFFF"/>
                <w:sz w:val="18"/>
                <w:szCs w:val="18"/>
              </w:rPr>
              <w:t xml:space="preserve">Meta/Referência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single" w:color="2980B9" w:sz="2"/>
              <w:right w:val="none" w:color="FFFFFF" w:sz="0"/>
            </w:tcBorders>
            <w:shd w:fill="0C234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/>
                <w:color w:val="FFFFFF"/>
                <w:sz w:val="18"/>
                <w:szCs w:val="18"/>
              </w:rPr>
              <w:t xml:space="preserve">Frequência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2980B9" w:sz="2"/>
              <w:right w:val="none" w:color="FFFFFF" w:sz="0"/>
            </w:tcBorders>
            <w:shd w:fill="0C234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/>
                <w:color w:val="FFFFFF"/>
                <w:sz w:val="18"/>
                <w:szCs w:val="18"/>
              </w:rPr>
              <w:t xml:space="preserve">Programa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9"/>
                <w:szCs w:val="19"/>
              </w:rPr>
              <w:t xml:space="preserve">Turnover total (YTD)</w:t>
            </w:r>
          </w:p>
        </w:tc>
        <w:tc>
          <w:tcPr>
            <w:tcW w:type="dxa" w:w="2826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9"/>
                <w:szCs w:val="19"/>
              </w:rPr>
              <w:t xml:space="preserve">≤ 35%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9"/>
                <w:szCs w:val="19"/>
              </w:rPr>
              <w:t xml:space="preserve">Mensal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9"/>
                <w:szCs w:val="19"/>
              </w:rPr>
              <w:t xml:space="preserve">Transversal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EEF2F7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9"/>
                <w:szCs w:val="19"/>
              </w:rPr>
              <w:t xml:space="preserve">Turnover em posições críticas</w:t>
            </w:r>
          </w:p>
        </w:tc>
        <w:tc>
          <w:tcPr>
            <w:tcW w:type="dxa" w:w="2826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EEF2F7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9"/>
                <w:szCs w:val="19"/>
              </w:rPr>
              <w:t xml:space="preserve">≤ 20%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EEF2F7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9"/>
                <w:szCs w:val="19"/>
              </w:rPr>
              <w:t xml:space="preserve">Mensal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EEF2F7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9"/>
                <w:szCs w:val="19"/>
              </w:rPr>
              <w:t xml:space="preserve">Desenvolve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9"/>
                <w:szCs w:val="19"/>
              </w:rPr>
              <w:t xml:space="preserve">TTF por criticidade</w:t>
            </w:r>
          </w:p>
        </w:tc>
        <w:tc>
          <w:tcPr>
            <w:tcW w:type="dxa" w:w="2826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9"/>
                <w:szCs w:val="19"/>
              </w:rPr>
              <w:t xml:space="preserve">Baseline Q1 → meta Q2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9"/>
                <w:szCs w:val="19"/>
              </w:rPr>
              <w:t xml:space="preserve">Mensal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9"/>
                <w:szCs w:val="19"/>
              </w:rPr>
              <w:t xml:space="preserve">Transversal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EEF2F7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9"/>
                <w:szCs w:val="19"/>
              </w:rPr>
              <w:t xml:space="preserve">Churn 0–90 dias</w:t>
            </w:r>
          </w:p>
        </w:tc>
        <w:tc>
          <w:tcPr>
            <w:tcW w:type="dxa" w:w="2826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EEF2F7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9"/>
                <w:szCs w:val="19"/>
              </w:rPr>
              <w:t xml:space="preserve">≤ 10%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EEF2F7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9"/>
                <w:szCs w:val="19"/>
              </w:rPr>
              <w:t xml:space="preserve">Mensal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EEF2F7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9"/>
                <w:szCs w:val="19"/>
              </w:rPr>
              <w:t xml:space="preserve">Desenvolve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9"/>
                <w:szCs w:val="19"/>
              </w:rPr>
              <w:t xml:space="preserve">Sucesso no 90º dia</w:t>
            </w:r>
          </w:p>
        </w:tc>
        <w:tc>
          <w:tcPr>
            <w:tcW w:type="dxa" w:w="2826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9"/>
                <w:szCs w:val="19"/>
              </w:rPr>
              <w:t xml:space="preserve">≥ 85%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9"/>
                <w:szCs w:val="19"/>
              </w:rPr>
              <w:t xml:space="preserve">Mensal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9"/>
                <w:szCs w:val="19"/>
              </w:rPr>
              <w:t xml:space="preserve">Desenvolve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EEF2F7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9"/>
                <w:szCs w:val="19"/>
              </w:rPr>
              <w:t xml:space="preserve">Conclusão onboarding 45/90</w:t>
            </w:r>
          </w:p>
        </w:tc>
        <w:tc>
          <w:tcPr>
            <w:tcW w:type="dxa" w:w="2826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EEF2F7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9"/>
                <w:szCs w:val="19"/>
              </w:rPr>
              <w:t xml:space="preserve">≥ 90%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EEF2F7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9"/>
                <w:szCs w:val="19"/>
              </w:rPr>
              <w:t xml:space="preserve">Mensal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EEF2F7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9"/>
                <w:szCs w:val="19"/>
              </w:rPr>
              <w:t xml:space="preserve">Desenvolve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9"/>
                <w:szCs w:val="19"/>
              </w:rPr>
              <w:t xml:space="preserve">Aderência de líderes a rituais</w:t>
            </w:r>
          </w:p>
        </w:tc>
        <w:tc>
          <w:tcPr>
            <w:tcW w:type="dxa" w:w="2826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9"/>
                <w:szCs w:val="19"/>
              </w:rPr>
              <w:t xml:space="preserve">≥ 85% (Jun) / ≥ 95% (Dez)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9"/>
                <w:szCs w:val="19"/>
              </w:rPr>
              <w:t xml:space="preserve">Mensal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9"/>
                <w:szCs w:val="19"/>
              </w:rPr>
              <w:t xml:space="preserve">Desenvolve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EEF2F7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9"/>
                <w:szCs w:val="19"/>
              </w:rPr>
              <w:t xml:space="preserve">Pulso dos 4 gargalos</w:t>
            </w:r>
          </w:p>
        </w:tc>
        <w:tc>
          <w:tcPr>
            <w:tcW w:type="dxa" w:w="2826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EEF2F7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9"/>
                <w:szCs w:val="19"/>
              </w:rPr>
              <w:t xml:space="preserve">Ver metas por gargalo (O3)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EEF2F7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9"/>
                <w:szCs w:val="19"/>
              </w:rPr>
              <w:t xml:space="preserve">Trimestral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EEF2F7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9"/>
                <w:szCs w:val="19"/>
              </w:rPr>
              <w:t xml:space="preserve">Conecta/Reconhece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9"/>
                <w:szCs w:val="19"/>
              </w:rPr>
              <w:t xml:space="preserve">GPTW readiness (checklist)</w:t>
            </w:r>
          </w:p>
        </w:tc>
        <w:tc>
          <w:tcPr>
            <w:tcW w:type="dxa" w:w="2826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9"/>
                <w:szCs w:val="19"/>
              </w:rPr>
              <w:t xml:space="preserve">≥ 90% (Set) / ≥ 95% (Nov)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9"/>
                <w:szCs w:val="19"/>
              </w:rPr>
              <w:t xml:space="preserve">Trimestral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9"/>
                <w:szCs w:val="19"/>
              </w:rPr>
              <w:t xml:space="preserve">Inova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EEF2F7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9"/>
                <w:szCs w:val="19"/>
              </w:rPr>
              <w:t xml:space="preserve">Mapa de posições críticas</w:t>
            </w:r>
          </w:p>
        </w:tc>
        <w:tc>
          <w:tcPr>
            <w:tcW w:type="dxa" w:w="2826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EEF2F7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9"/>
                <w:szCs w:val="19"/>
              </w:rPr>
              <w:t xml:space="preserve">100% cobertura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EEF2F7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9"/>
                <w:szCs w:val="19"/>
              </w:rPr>
              <w:t xml:space="preserve">Mensal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EEF2F7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9"/>
                <w:szCs w:val="19"/>
              </w:rPr>
              <w:t xml:space="preserve">Transversal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9"/>
                <w:szCs w:val="19"/>
              </w:rPr>
              <w:t xml:space="preserve">% ações do MBR executadas</w:t>
            </w:r>
          </w:p>
        </w:tc>
        <w:tc>
          <w:tcPr>
            <w:tcW w:type="dxa" w:w="2826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9"/>
                <w:szCs w:val="19"/>
              </w:rPr>
              <w:t xml:space="preserve">≥ 80%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9"/>
                <w:szCs w:val="19"/>
              </w:rPr>
              <w:t xml:space="preserve">Mensal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9"/>
                <w:szCs w:val="19"/>
              </w:rPr>
              <w:t xml:space="preserve">Inova (governança)</w:t>
            </w:r>
          </w:p>
        </w:tc>
      </w:tr>
    </w:tbl>
    <w:p>
      <w:pPr>
        <w:spacing w:before="0" w:after="0" w:line="240"/>
      </w:pPr>
      <w:r>
        <w:t xml:space="preserve"/>
      </w:r>
    </w:p>
    <w:p>
      <w:pPr>
        <w:pStyle w:val="Heading1"/>
        <w:pBdr>
          <w:bottom w:val="single" w:color="2980B9" w:sz="3" w:space="2"/>
        </w:pBdr>
        <w:spacing w:before="280" w:after="80" w:line="260"/>
      </w:pPr>
      <w:r>
        <w:rPr>
          <w:rFonts w:ascii="Calibri Light" w:cs="Calibri Light" w:eastAsia="Calibri Light" w:hAnsi="Calibri Light"/>
          <w:color w:val="2980B9"/>
          <w:sz w:val="30"/>
          <w:szCs w:val="30"/>
        </w:rPr>
        <w:t xml:space="preserve">7  </w:t>
      </w:r>
      <w:r>
        <w:rPr>
          <w:rFonts w:ascii="Calibri Light" w:cs="Calibri Light" w:eastAsia="Calibri Light" w:hAnsi="Calibri Light"/>
          <w:color w:val="0C2340"/>
          <w:sz w:val="30"/>
          <w:szCs w:val="30"/>
        </w:rPr>
        <w:t xml:space="preserve">Riscos críticos e mitigações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026"/>
        <w:gridCol w:w="4200"/>
      </w:tblGrid>
      <w:tr>
        <w:trPr>
          <w:tblHeader/>
        </w:trPr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2980B9" w:sz="2"/>
              <w:right w:val="none" w:color="FFFFFF" w:sz="0"/>
            </w:tcBorders>
            <w:shd w:fill="0C234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/>
                <w:color w:val="FFFFFF"/>
                <w:sz w:val="18"/>
                <w:szCs w:val="18"/>
              </w:rPr>
              <w:t xml:space="preserve">Risco</w:t>
            </w:r>
          </w:p>
        </w:tc>
        <w:tc>
          <w:tcPr>
            <w:tcW w:type="dxa" w:w="3026"/>
            <w:tcBorders>
              <w:top w:val="none" w:color="FFFFFF" w:sz="0"/>
              <w:left w:val="none" w:color="FFFFFF" w:sz="0"/>
              <w:bottom w:val="single" w:color="2980B9" w:sz="2"/>
              <w:right w:val="none" w:color="FFFFFF" w:sz="0"/>
            </w:tcBorders>
            <w:shd w:fill="0C234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/>
                <w:color w:val="FFFFFF"/>
                <w:sz w:val="18"/>
                <w:szCs w:val="18"/>
              </w:rPr>
              <w:t xml:space="preserve">Descrição</w:t>
            </w:r>
          </w:p>
        </w:tc>
        <w:tc>
          <w:tcPr>
            <w:tcW w:type="dxa" w:w="4200"/>
            <w:tcBorders>
              <w:top w:val="none" w:color="FFFFFF" w:sz="0"/>
              <w:left w:val="none" w:color="FFFFFF" w:sz="0"/>
              <w:bottom w:val="single" w:color="2980B9" w:sz="2"/>
              <w:right w:val="none" w:color="FFFFFF" w:sz="0"/>
            </w:tcBorders>
            <w:shd w:fill="0C234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/>
                <w:color w:val="FFFFFF"/>
                <w:sz w:val="18"/>
                <w:szCs w:val="18"/>
              </w:rPr>
              <w:t xml:space="preserve">Mitigação da Direção</w:t>
            </w:r>
          </w:p>
        </w:tc>
      </w:tr>
      <w:tr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9"/>
                <w:szCs w:val="19"/>
              </w:rPr>
              <w:t xml:space="preserve">Dispersão</w:t>
            </w:r>
          </w:p>
        </w:tc>
        <w:tc>
          <w:tcPr>
            <w:tcW w:type="dxa" w:w="3026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9"/>
                <w:szCs w:val="19"/>
              </w:rPr>
              <w:t xml:space="preserve">Muitas iniciativas, pouca evidência real</w:t>
            </w:r>
          </w:p>
        </w:tc>
        <w:tc>
          <w:tcPr>
            <w:tcW w:type="dxa" w:w="4200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9"/>
                <w:szCs w:val="19"/>
              </w:rPr>
              <w:t xml:space="preserve">Limitar WIP no Q1 (máx. 3 pesadas) e exigir evidência mínima em toda INIT</w:t>
            </w:r>
          </w:p>
        </w:tc>
      </w:tr>
      <w:tr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EEF2F7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9"/>
                <w:szCs w:val="19"/>
              </w:rPr>
              <w:t xml:space="preserve">Baixa adesão da liderança</w:t>
            </w:r>
          </w:p>
        </w:tc>
        <w:tc>
          <w:tcPr>
            <w:tcW w:type="dxa" w:w="3026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EEF2F7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9"/>
                <w:szCs w:val="19"/>
              </w:rPr>
              <w:t xml:space="preserve">Líderes não executam rituais mínimos</w:t>
            </w:r>
          </w:p>
        </w:tc>
        <w:tc>
          <w:tcPr>
            <w:tcW w:type="dxa" w:w="4200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EEF2F7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9"/>
                <w:szCs w:val="19"/>
              </w:rPr>
              <w:t xml:space="preserve">Aderência vira KPI com cobrança explícita no MBR — pauta fixa com patrocínio da Direção</w:t>
            </w:r>
          </w:p>
        </w:tc>
      </w:tr>
      <w:tr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9"/>
                <w:szCs w:val="19"/>
              </w:rPr>
              <w:t xml:space="preserve">Comunicação interna sem dono</w:t>
            </w:r>
          </w:p>
        </w:tc>
        <w:tc>
          <w:tcPr>
            <w:tcW w:type="dxa" w:w="3026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9"/>
                <w:szCs w:val="19"/>
              </w:rPr>
              <w:t xml:space="preserve">Conecta opera sem responsável claro</w:t>
            </w:r>
          </w:p>
        </w:tc>
        <w:tc>
          <w:tcPr>
            <w:tcW w:type="dxa" w:w="4200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9"/>
                <w:szCs w:val="19"/>
              </w:rPr>
              <w:t xml:space="preserve">Definir dono, SLA e cadência no Q1 — sem dono, não existe como iniciativa</w:t>
            </w:r>
          </w:p>
        </w:tc>
      </w:tr>
      <w:tr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EEF2F7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9"/>
                <w:szCs w:val="19"/>
              </w:rPr>
              <w:t xml:space="preserve">GPTW virar campanha</w:t>
            </w:r>
          </w:p>
        </w:tc>
        <w:tc>
          <w:tcPr>
            <w:tcW w:type="dxa" w:w="3026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EEF2F7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9"/>
                <w:szCs w:val="19"/>
              </w:rPr>
              <w:t xml:space="preserve">Certificação sem melhoria real interna</w:t>
            </w:r>
          </w:p>
        </w:tc>
        <w:tc>
          <w:tcPr>
            <w:tcW w:type="dxa" w:w="4200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EEF2F7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9"/>
                <w:szCs w:val="19"/>
              </w:rPr>
              <w:t xml:space="preserve">Readiness trimestral com owners por gap + evidências reais antes de qualquer narrativa externa</w:t>
            </w:r>
          </w:p>
        </w:tc>
      </w:tr>
      <w:tr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9"/>
                <w:szCs w:val="19"/>
              </w:rPr>
              <w:t xml:space="preserve">People Analytics como painel bonito</w:t>
            </w:r>
          </w:p>
        </w:tc>
        <w:tc>
          <w:tcPr>
            <w:tcW w:type="dxa" w:w="3026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9"/>
                <w:szCs w:val="19"/>
              </w:rPr>
              <w:t xml:space="preserve">Painel sem decisão gerada</w:t>
            </w:r>
          </w:p>
        </w:tc>
        <w:tc>
          <w:tcPr>
            <w:tcW w:type="dxa" w:w="4200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9"/>
                <w:szCs w:val="19"/>
              </w:rPr>
              <w:t xml:space="preserve">Painel só existe se gerar ação no MBR — indicador de ações executadas como KPI</w:t>
            </w:r>
          </w:p>
        </w:tc>
      </w:tr>
      <w:tr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EEF2F7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9"/>
                <w:szCs w:val="19"/>
              </w:rPr>
              <w:t xml:space="preserve">Subexecução 2025 se repetir</w:t>
            </w:r>
          </w:p>
        </w:tc>
        <w:tc>
          <w:tcPr>
            <w:tcW w:type="dxa" w:w="3026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EEF2F7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9"/>
                <w:szCs w:val="19"/>
              </w:rPr>
              <w:t xml:space="preserve">RH com baixa execução orçamentária novamente</w:t>
            </w:r>
          </w:p>
        </w:tc>
        <w:tc>
          <w:tcPr>
            <w:tcW w:type="dxa" w:w="4200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EEF2F7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9"/>
                <w:szCs w:val="19"/>
              </w:rPr>
              <w:t xml:space="preserve">Envelope por programa definido no B4 + acompanhamento mensal no MBR com Financeiro</w:t>
            </w:r>
          </w:p>
        </w:tc>
      </w:tr>
    </w:tbl>
    <w:p>
      <w:pPr>
        <w:spacing w:before="0" w:after="0" w:line="240"/>
      </w:pPr>
      <w:r>
        <w:t xml:space="preserve"/>
      </w:r>
    </w:p>
    <w:p>
      <w:pPr>
        <w:pStyle w:val="Heading1"/>
        <w:pBdr>
          <w:bottom w:val="single" w:color="2980B9" w:sz="3" w:space="2"/>
        </w:pBdr>
        <w:spacing w:before="280" w:after="80" w:line="260"/>
      </w:pPr>
      <w:r>
        <w:rPr>
          <w:rFonts w:ascii="Calibri Light" w:cs="Calibri Light" w:eastAsia="Calibri Light" w:hAnsi="Calibri Light"/>
          <w:color w:val="2980B9"/>
          <w:sz w:val="30"/>
          <w:szCs w:val="30"/>
        </w:rPr>
        <w:t xml:space="preserve">8  </w:t>
      </w:r>
      <w:r>
        <w:rPr>
          <w:rFonts w:ascii="Calibri Light" w:cs="Calibri Light" w:eastAsia="Calibri Light" w:hAnsi="Calibri Light"/>
          <w:color w:val="0C2340"/>
          <w:sz w:val="30"/>
          <w:szCs w:val="30"/>
        </w:rPr>
        <w:t xml:space="preserve">Cadência de governança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200"/>
        <w:gridCol w:w="1600"/>
        <w:gridCol w:w="3026"/>
        <w:gridCol w:w="1800"/>
      </w:tblGrid>
      <w:tr>
        <w:trPr>
          <w:tblHeader/>
        </w:trPr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2980B9" w:sz="2"/>
              <w:right w:val="none" w:color="FFFFFF" w:sz="0"/>
            </w:tcBorders>
            <w:shd w:fill="0C234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/>
                <w:color w:val="FFFFFF"/>
                <w:sz w:val="18"/>
                <w:szCs w:val="18"/>
              </w:rPr>
              <w:t xml:space="preserve">Cadência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single" w:color="2980B9" w:sz="2"/>
              <w:right w:val="none" w:color="FFFFFF" w:sz="0"/>
            </w:tcBorders>
            <w:shd w:fill="0C234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/>
                <w:color w:val="FFFFFF"/>
                <w:sz w:val="18"/>
                <w:szCs w:val="18"/>
              </w:rPr>
              <w:t xml:space="preserve">Freq.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single" w:color="2980B9" w:sz="2"/>
              <w:right w:val="none" w:color="FFFFFF" w:sz="0"/>
            </w:tcBorders>
            <w:shd w:fill="0C234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/>
                <w:color w:val="FFFFFF"/>
                <w:sz w:val="18"/>
                <w:szCs w:val="18"/>
              </w:rPr>
              <w:t xml:space="preserve">Foco</w:t>
            </w:r>
          </w:p>
        </w:tc>
        <w:tc>
          <w:tcPr>
            <w:tcW w:type="dxa" w:w="3026"/>
            <w:tcBorders>
              <w:top w:val="none" w:color="FFFFFF" w:sz="0"/>
              <w:left w:val="none" w:color="FFFFFF" w:sz="0"/>
              <w:bottom w:val="single" w:color="2980B9" w:sz="2"/>
              <w:right w:val="none" w:color="FFFFFF" w:sz="0"/>
            </w:tcBorders>
            <w:shd w:fill="0C234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/>
                <w:color w:val="FFFFFF"/>
                <w:sz w:val="18"/>
                <w:szCs w:val="18"/>
              </w:rPr>
              <w:t xml:space="preserve">Pauta fixa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2980B9" w:sz="2"/>
              <w:right w:val="none" w:color="FFFFFF" w:sz="0"/>
            </w:tcBorders>
            <w:shd w:fill="0C234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/>
                <w:color w:val="FFFFFF"/>
                <w:sz w:val="18"/>
                <w:szCs w:val="18"/>
              </w:rPr>
              <w:t xml:space="preserve">Saída obrigatória</w:t>
            </w:r>
          </w:p>
        </w:tc>
      </w:tr>
      <w:tr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9"/>
                <w:szCs w:val="19"/>
              </w:rPr>
              <w:t xml:space="preserve">WBR RH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9"/>
                <w:szCs w:val="19"/>
              </w:rPr>
              <w:t xml:space="preserve">Semanal Q1 / Quinzenal Q2+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9"/>
                <w:szCs w:val="19"/>
              </w:rPr>
              <w:t xml:space="preserve">Execução e desbloqueio</w:t>
            </w:r>
          </w:p>
        </w:tc>
        <w:tc>
          <w:tcPr>
            <w:tcW w:type="dxa" w:w="3026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9"/>
                <w:szCs w:val="19"/>
              </w:rPr>
              <w:t xml:space="preserve">Vagas críticas · Onboarding · Retenção ativa · Aderência rituais · Log decisões · Bloqueios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9"/>
                <w:szCs w:val="19"/>
              </w:rPr>
              <w:t xml:space="preserve">Ações com dono + prazo</w:t>
            </w:r>
          </w:p>
        </w:tc>
      </w:tr>
      <w:tr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EEF2F7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9"/>
                <w:szCs w:val="19"/>
              </w:rPr>
              <w:t xml:space="preserve">MBR RH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EEF2F7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9"/>
                <w:szCs w:val="19"/>
              </w:rPr>
              <w:t xml:space="preserve">Mensal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EEF2F7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9"/>
                <w:szCs w:val="19"/>
              </w:rPr>
              <w:t xml:space="preserve">KPIs e decisões</w:t>
            </w:r>
          </w:p>
        </w:tc>
        <w:tc>
          <w:tcPr>
            <w:tcW w:type="dxa" w:w="3026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EEF2F7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9"/>
                <w:szCs w:val="19"/>
              </w:rPr>
              <w:t xml:space="preserve">Placar KPIs + guardrails · Evolução de metas · Execução dos 4 programas · Orçamento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EEF2F7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9"/>
                <w:szCs w:val="19"/>
              </w:rPr>
              <w:t xml:space="preserve">Ata + decisões + backlog de ações</w:t>
            </w:r>
          </w:p>
        </w:tc>
      </w:tr>
      <w:tr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9"/>
                <w:szCs w:val="19"/>
              </w:rPr>
              <w:t xml:space="preserve">QBR RH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9"/>
                <w:szCs w:val="19"/>
              </w:rPr>
              <w:t xml:space="preserve">Trimestral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9"/>
                <w:szCs w:val="19"/>
              </w:rPr>
              <w:t xml:space="preserve">Ajuste estrutural</w:t>
            </w:r>
          </w:p>
        </w:tc>
        <w:tc>
          <w:tcPr>
            <w:tcW w:type="dxa" w:w="3026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9"/>
                <w:szCs w:val="19"/>
              </w:rPr>
              <w:t xml:space="preserve">O1–O5 evolução · Escola de Líderes · Mapa talentos · GPTW readiness · Ajuste WIP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9"/>
                <w:szCs w:val="19"/>
              </w:rPr>
              <w:t xml:space="preserve">Relatório de avanço + decisões + ajuste prioridades</w:t>
            </w:r>
          </w:p>
        </w:tc>
      </w:tr>
    </w:tbl>
    <w:p>
      <w:pPr>
        <w:spacing w:before="0" w:after="0" w:line="240"/>
      </w:pPr>
      <w:r>
        <w:t xml:space="preserve"/>
      </w:r>
    </w:p>
    <w:p>
      <w:pPr>
        <w:pStyle w:val="Heading1"/>
        <w:pBdr>
          <w:bottom w:val="single" w:color="2980B9" w:sz="3" w:space="2"/>
        </w:pBdr>
        <w:spacing w:before="280" w:after="80" w:line="260"/>
      </w:pPr>
      <w:r>
        <w:rPr>
          <w:rFonts w:ascii="Calibri Light" w:cs="Calibri Light" w:eastAsia="Calibri Light" w:hAnsi="Calibri Light"/>
          <w:color w:val="2980B9"/>
          <w:sz w:val="30"/>
          <w:szCs w:val="30"/>
        </w:rPr>
        <w:t xml:space="preserve">9  </w:t>
      </w:r>
      <w:r>
        <w:rPr>
          <w:rFonts w:ascii="Calibri Light" w:cs="Calibri Light" w:eastAsia="Calibri Light" w:hAnsi="Calibri Light"/>
          <w:color w:val="0C2340"/>
          <w:sz w:val="30"/>
          <w:szCs w:val="30"/>
        </w:rPr>
        <w:t xml:space="preserve">Glossário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rPr>
          <w:tblHeader/>
        </w:trP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2980B9" w:sz="2"/>
              <w:right w:val="none" w:color="FFFFFF" w:sz="0"/>
            </w:tcBorders>
            <w:shd w:fill="0C234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/>
                <w:color w:val="FFFFFF"/>
                <w:sz w:val="18"/>
                <w:szCs w:val="18"/>
              </w:rPr>
              <w:t xml:space="preserve">Termo</w:t>
            </w:r>
          </w:p>
        </w:tc>
        <w:tc>
          <w:tcPr>
            <w:tcW w:type="dxa" w:w="6226"/>
            <w:tcBorders>
              <w:top w:val="none" w:color="FFFFFF" w:sz="0"/>
              <w:left w:val="none" w:color="FFFFFF" w:sz="0"/>
              <w:bottom w:val="single" w:color="2980B9" w:sz="2"/>
              <w:right w:val="none" w:color="FFFFFF" w:sz="0"/>
            </w:tcBorders>
            <w:shd w:fill="0C234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/>
                <w:color w:val="FFFFFF"/>
                <w:sz w:val="18"/>
                <w:szCs w:val="18"/>
              </w:rPr>
              <w:t xml:space="preserve">Definição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9"/>
                <w:szCs w:val="19"/>
              </w:rPr>
              <w:t xml:space="preserve">OKR</w:t>
            </w:r>
          </w:p>
        </w:tc>
        <w:tc>
          <w:tcPr>
            <w:tcW w:type="dxa" w:w="6226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9"/>
                <w:szCs w:val="19"/>
              </w:rPr>
              <w:t xml:space="preserve">Objective and Key Result — objetivo com resultados mensuráveis e verificáveis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EEF2F7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9"/>
                <w:szCs w:val="19"/>
              </w:rPr>
              <w:t xml:space="preserve">KR</w:t>
            </w:r>
          </w:p>
        </w:tc>
        <w:tc>
          <w:tcPr>
            <w:tcW w:type="dxa" w:w="6226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EEF2F7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9"/>
                <w:szCs w:val="19"/>
              </w:rPr>
              <w:t xml:space="preserve">Key Result — resultado-chave vinculado a um OKR; deve ser mensurável e com deadline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9"/>
                <w:szCs w:val="19"/>
              </w:rPr>
              <w:t xml:space="preserve">O1–O5</w:t>
            </w:r>
          </w:p>
        </w:tc>
        <w:tc>
          <w:tcPr>
            <w:tcW w:type="dxa" w:w="6226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9"/>
                <w:szCs w:val="19"/>
              </w:rPr>
              <w:t xml:space="preserve">Objetivos Estratégicos do Ano do RH — prioridades setoriais 2026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EEF2F7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9"/>
                <w:szCs w:val="19"/>
              </w:rPr>
              <w:t xml:space="preserve">P5</w:t>
            </w:r>
          </w:p>
        </w:tc>
        <w:tc>
          <w:tcPr>
            <w:tcW w:type="dxa" w:w="6226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EEF2F7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9"/>
                <w:szCs w:val="19"/>
              </w:rPr>
              <w:t xml:space="preserve">Pilar Institucional do PE2026 — Pessoas, Liderança e Capacidade Intelectual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9"/>
                <w:szCs w:val="19"/>
              </w:rPr>
              <w:t xml:space="preserve">TTF</w:t>
            </w:r>
          </w:p>
        </w:tc>
        <w:tc>
          <w:tcPr>
            <w:tcW w:type="dxa" w:w="6226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9"/>
                <w:szCs w:val="19"/>
              </w:rPr>
              <w:t xml:space="preserve">Time-to-Fill — tempo médio de preenchimento de vaga (dias)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EEF2F7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9"/>
                <w:szCs w:val="19"/>
              </w:rPr>
              <w:t xml:space="preserve">Churn 0–90</w:t>
            </w:r>
          </w:p>
        </w:tc>
        <w:tc>
          <w:tcPr>
            <w:tcW w:type="dxa" w:w="6226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EEF2F7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9"/>
                <w:szCs w:val="19"/>
              </w:rPr>
              <w:t xml:space="preserve">Desligamento dentro de 0 a 90 dias — proxy de qualidade de contratação e onboarding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9"/>
                <w:szCs w:val="19"/>
              </w:rPr>
              <w:t xml:space="preserve">Nine Box</w:t>
            </w:r>
          </w:p>
        </w:tc>
        <w:tc>
          <w:tcPr>
            <w:tcW w:type="dxa" w:w="6226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9"/>
                <w:szCs w:val="19"/>
              </w:rPr>
              <w:t xml:space="preserve">Matriz de calibragem de talentos cruzando performance e potencial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EEF2F7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9"/>
                <w:szCs w:val="19"/>
              </w:rPr>
              <w:t xml:space="preserve">PDI</w:t>
            </w:r>
          </w:p>
        </w:tc>
        <w:tc>
          <w:tcPr>
            <w:tcW w:type="dxa" w:w="6226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EEF2F7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9"/>
                <w:szCs w:val="19"/>
              </w:rPr>
              <w:t xml:space="preserve">Plano de Desenvolvimento Individual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9"/>
                <w:szCs w:val="19"/>
              </w:rPr>
              <w:t xml:space="preserve">GPTW readiness</w:t>
            </w:r>
          </w:p>
        </w:tc>
        <w:tc>
          <w:tcPr>
            <w:tcW w:type="dxa" w:w="6226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9"/>
                <w:szCs w:val="19"/>
              </w:rPr>
              <w:t xml:space="preserve">Checklist trimestral de prontidão para certificação GPTW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EEF2F7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9"/>
                <w:szCs w:val="19"/>
              </w:rPr>
              <w:t xml:space="preserve">People Analytics</w:t>
            </w:r>
          </w:p>
        </w:tc>
        <w:tc>
          <w:tcPr>
            <w:tcW w:type="dxa" w:w="6226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EEF2F7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9"/>
                <w:szCs w:val="19"/>
              </w:rPr>
              <w:t xml:space="preserve">Uso de dados de pessoas para orientar decisões de gestão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9"/>
                <w:szCs w:val="19"/>
              </w:rPr>
              <w:t xml:space="preserve">WBR / MBR / QBR</w:t>
            </w:r>
          </w:p>
        </w:tc>
        <w:tc>
          <w:tcPr>
            <w:tcW w:type="dxa" w:w="6226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9"/>
                <w:szCs w:val="19"/>
              </w:rPr>
              <w:t xml:space="preserve">Cadências semanal / mensal / trimestral de governança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EEF2F7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9"/>
                <w:szCs w:val="19"/>
              </w:rPr>
              <w:t xml:space="preserve">WIP</w:t>
            </w:r>
          </w:p>
        </w:tc>
        <w:tc>
          <w:tcPr>
            <w:tcW w:type="dxa" w:w="6226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EEF2F7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9"/>
                <w:szCs w:val="19"/>
              </w:rPr>
              <w:t xml:space="preserve">Work in Progress — limite de iniciativas simultâneas ativas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9"/>
                <w:szCs w:val="19"/>
              </w:rPr>
              <w:t xml:space="preserve">Evidência</w:t>
            </w:r>
          </w:p>
        </w:tc>
        <w:tc>
          <w:tcPr>
            <w:tcW w:type="dxa" w:w="6226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9"/>
                <w:szCs w:val="19"/>
              </w:rPr>
              <w:t xml:space="preserve">Prova objetiva de execução: log, ata, painel, checklist, resultado de pulso</w:t>
            </w:r>
          </w:p>
        </w:tc>
      </w:tr>
    </w:tbl>
    <w:sectPr>
      <w:headerReference w:type="default" r:id="rId6"/>
      <w:footerReference w:type="default" r:id="rId7"/>
      <w:pgSz w:w="11906" w:h="16838" w:orient="portrait"/>
      <w:pgMar w:top="1080" w:right="1080" w:bottom="1080" w:left="1080" w:header="708" w:footer="708" w:gutter="0"/>
      <w:pgNumType/>
      <w:titlePg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BD5E1" w:sz="1" w:space="2"/>
      </w:pBdr>
      <w:spacing w:before="60" w:after="0" w:line="240"/>
    </w:pPr>
    <w:r>
      <w:rPr>
        <w:rFonts w:ascii="Calibri" w:cs="Calibri" w:eastAsia="Calibri" w:hAnsi="Calibri"/>
        <w:color w:val="94A3B8"/>
        <w:sz w:val="16"/>
        <w:szCs w:val="16"/>
      </w:rPr>
      <w:t xml:space="preserve">Confidencial — Uso interno da Direção</w:t>
    </w:r>
    <w:r>
      <w:rPr>
        <w:rFonts w:ascii="Calibri" w:cs="Calibri" w:eastAsia="Calibri" w:hAnsi="Calibri"/>
        <w:color w:val="94A3B8"/>
        <w:sz w:val="16"/>
        <w:szCs w:val="16"/>
      </w:rPr>
      <w:t xml:space="preserve">     Página </w:t>
    </w:r>
    <w:r>
      <w:rPr>
        <w:rFonts w:ascii="Calibri" w:cs="Calibri" w:eastAsia="Calibri" w:hAnsi="Calibri"/>
        <w:color w:val="94A3B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BD5E1" w:sz="1" w:space="2"/>
      </w:pBdr>
      <w:spacing w:before="0" w:after="80" w:line="240"/>
    </w:pPr>
    <w:r>
      <w:rPr>
        <w:rFonts w:ascii="Calibri" w:cs="Calibri" w:eastAsia="Calibri" w:hAnsi="Calibri"/>
        <w:b/>
        <w:bCs/>
        <w:color w:val="2980B9"/>
        <w:sz w:val="16"/>
        <w:szCs w:val="16"/>
      </w:rPr>
      <w:t xml:space="preserve">PE 2026</w:t>
    </w:r>
    <w:r>
      <w:rPr>
        <w:rFonts w:ascii="Calibri Light" w:cs="Calibri Light" w:eastAsia="Calibri Light" w:hAnsi="Calibri Light"/>
        <w:color w:val="64748B"/>
        <w:sz w:val="16"/>
        <w:szCs w:val="16"/>
      </w:rPr>
      <w:t xml:space="preserve">   |   DOC 11-A.1 — Caderno Setorial RH — Direção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334155"/>
        <w:sz w:val="20"/>
        <w:szCs w:val="20"/>
      </w:rPr>
    </w:rPrDefault>
    <w:pPrDefault>
      <w:pPr>
        <w:spacing w:line="264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80" w:after="80"/>
      <w:outlineLvl w:val="0"/>
    </w:pPr>
    <w:rPr>
      <w:rFonts w:ascii="Calibri Light" w:cs="Calibri Light" w:eastAsia="Calibri Light" w:hAnsi="Calibri Light"/>
      <w:b w:val="false"/>
      <w:bCs w:val="false"/>
      <w:color w:val="0C2340"/>
      <w:sz w:val="30"/>
      <w:szCs w:val="30"/>
    </w:rPr>
  </w:style>
  <w:style w:type="paragraph" w:styleId="Heading2">
    <w:name w:val="Heading 2"/>
    <w:basedOn w:val="Normal"/>
    <w:next w:val="Normal"/>
    <w:qFormat/>
    <w:pPr>
      <w:spacing w:before="200" w:after="60"/>
      <w:outlineLvl w:val="1"/>
    </w:pPr>
    <w:rPr>
      <w:rFonts w:ascii="Calibri" w:cs="Calibri" w:eastAsia="Calibri" w:hAnsi="Calibri"/>
      <w:b/>
      <w:bCs/>
      <w:color w:val="163B5C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2026-03-03T00:13:23.335Z</dcterms:created>
  <dcterms:modified xsi:type="dcterms:W3CDTF">2026-03-03T00:13:23.336Z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