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pBdr>
          <w:bottom w:val="single" w:color="2980B9" w:sz="6" w:space="3"/>
        </w:pBdr>
        <w:spacing w:before="0" w:after="60" w:line="240"/>
      </w:pPr>
      <w:r>
        <w:rPr>
          <w:rFonts w:ascii="Calibri Light" w:cs="Calibri Light" w:eastAsia="Calibri Light" w:hAnsi="Calibri Light"/>
          <w:color w:val="2980B9"/>
          <w:sz w:val="56"/>
          <w:szCs w:val="56"/>
        </w:rPr>
        <w:t xml:space="preserve">PE 2026</w:t>
      </w:r>
    </w:p>
    <w:p>
      <w:pPr>
        <w:spacing w:before="0" w:after="0" w:line="240"/>
      </w:pPr>
      <w:r>
        <w:t xml:space="preserve"/>
      </w:r>
    </w:p>
    <w:p>
      <w:pPr>
        <w:spacing w:before="60" w:after="120" w:line="280"/>
      </w:pPr>
      <w:r>
        <w:rPr>
          <w:rFonts w:ascii="Calibri Light" w:cs="Calibri Light" w:eastAsia="Calibri Light" w:hAnsi="Calibri Light"/>
          <w:b w:val="false"/>
          <w:bCs w:val="false"/>
          <w:color w:val="0C2340"/>
          <w:sz w:val="44"/>
          <w:szCs w:val="44"/>
        </w:rPr>
        <w:t xml:space="preserve">DOC 11-A</w:t>
      </w:r>
    </w:p>
    <w:p>
      <w:pPr>
        <w:spacing w:before="0" w:after="60" w:line="264"/>
      </w:pPr>
      <w:r>
        <w:rPr>
          <w:rFonts w:ascii="Calibri Light" w:cs="Calibri Light" w:eastAsia="Calibri Light" w:hAnsi="Calibri Light"/>
          <w:color w:val="163B5C"/>
          <w:sz w:val="32"/>
          <w:szCs w:val="32"/>
        </w:rPr>
        <w:t xml:space="preserve">Caderno Gerencial — RH 2026</w:t>
      </w:r>
    </w:p>
    <w:p>
      <w:pPr>
        <w:spacing w:before="0" w:after="280" w:line="252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Mandato · Fronteiras · Subpilares · Placar · Governança</w:t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Versão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2.0 — Março/2026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Camada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 — MBR (Caderno Gerencial)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Confidencial — Uso interno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LR-06 · LR-08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Referência PE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Pilar P5 — Pessoas, Liderança e Capacidade Intelectual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Sumário</w:t>
      </w:r>
    </w:p>
    <w:p>
      <w:pPr>
        <w:spacing w:before="0" w:after="0" w:line="240"/>
      </w:pPr>
      <w:r>
        <w:t xml:space="preserve"/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1.   Contexto e justificativa estratégica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3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2.   Mandato do RH em 2026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4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3.   Fronteiras e interfaces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5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4.   Premissas e restrições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6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5.   Arquitetura gerencial — Objetivos e Programas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7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6.   Placar do RH — KPIs e guardrails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8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7.   Governança mínima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9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8.   Entregas mínimas do ano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10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9.   Glossário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11</w:t>
      </w:r>
    </w:p>
    <w:p>
      <w:r>
        <w:br w:type="pag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Contexto e justificativa estratégica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2026 é um ano de reorganização estrutural. A empresa opera sob quatro vetores simultâneos de pressão: entrada de peças-chave (COO, Comercial), separação progressiva Aero x Techdengue, aumento de exigência por desempenho e início da trilha sell-ready do Techdengue.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O diagnóstico 2025 confirma base cultural positiva — favorabilidade 81,3% — mas expõe quatro gargalos objetivos que drenam energia útil e se amplificam com o crescimento: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913"/>
        <w:gridCol w:w="1913"/>
      </w:tblGrid>
      <w:tr>
        <w:trPr>
          <w:tblHeader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Baseline 2025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Meta 2026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Informado sobre decisões/mudanças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52%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75% (Q4)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Colaboração interáreas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59%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75% (Q4)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Onboarding e suporte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63%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80% (Q4)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Reconhecimento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67–70%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82% (Q4)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O RH não atua sobre cultura como slogan. Atua como infraestrutura de escala: instala sistema, garante método, exige evidência.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Vínculo PE2026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 RH responde ao Pilar Institucional P5 — Pessoas, Liderança e Capacidade Intelectual. Contribui estruturalmente para P1 (Governança e Separação Aero/Techdengue) e P2 (Crescimento): estabilidade e maturidade de liderança são pré-condições de execução do plano.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Mandato do RH em 2026</w:t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2.1 O que o RH garante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O RH opera em 2026 como função estratégica de infraestrutura, com sete responsabilidades inegociáveis: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Descrição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Atração e retenção com método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Ciclo estruturado de contratação, onboarding e retenção ativa de posições críticas. Proteção de capacidade, não triagem de currículo.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Redução de rotatividade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Atuação em causa raiz. Mapa de riscos, planos de contenção ativos e indicadores mensais — não somente gestão de saída.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Maturidade de liderança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Escola de Líderes como disciplina anual. Rituais mínimos com cobrança explícita. Competências de decisão, feedback e gestão de conflitos.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Ciclo de desempenho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Metas por área, competências mapeadas, calibragem e PDIs. Mérito com método reduz injustiça percebida e aumenta performance real.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People Analytics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Indicadores com fórmula, fonte e dono. Painel mensal para o MBR. RH decide com dados, não com narrativa.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como disciplina anual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Trilha de readiness, owners por gap, evidência real e certificação como marco formal do ano. Não é selo — é sistema.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Olhar social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Firmeza, justiça e humanidade nas rotinas de gestão, desligamentos e transições organizacionais.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2.2 O que o RH não faz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Para evitar dispersão e captura por demandas operacionais, estão explicitamente fora do escopo do RH: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Fora do escopo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Central de eventos como substituto de cultura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Gestão de apagar incêndio sem atacar causa raiz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Ações soltas sem cadência, dono e evidência mínima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Ser o único responsável por resultado de pessoas — liderança é corresponsável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Fronteiras e interfaces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A efetividade do RH depende de fronteiras claras. Ambiguidade de papel gera retrabalho e decisões lentas.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Papel / Entrega esperada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Direção Executiva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Define arquitetura organizacional; patrocina rituais; destrava decisões críticas; é Sponsor das iniciativas estruturantes.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Líderes (todas as áreas)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Executam rituais mínimos (1:1, feedback, desenvolvimento); definem metas de equipe; entregam PDIs; são corresponsáveis por clima.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Marketing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Marca empregadora: narrativa externa, comunicação institucional e trilha GPTW quando aplicável.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Produto / Dados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Infraestrutura de People Analytics: painéis, fontes, integrações e automações de indicadores.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Operação e CS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Onboarding prático de funções de campo; retenção ativa em funções críticas; conexão entre cultura e operação real.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Financeiro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Viabilidade de iniciativas: custos de turnover, orçamento de capacitação, envelope por programa.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Regras de fronteira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RH desenha o sistema; líderes executam junto. Comunicação interna tem dono e cadência — não pode ser de ninguém. GPTW não é selo; é disciplina anual baseada em gaps reais com owners e evidências. Orçamento de RH é aprovado pela Direção e acompanhado pelo Financeiro no MBR.</w:t>
      </w:r>
    </w:p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Premissas e restrições</w:t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4.1 Premissas operacionais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486"/>
      </w:tblGrid>
      <w:tr>
        <w:trPr>
          <w:tblHeader/>
        </w:trP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8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Premissa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848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Crescimento e reorganização amplificam risco de ruído e rotatividade em 2026.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848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 ano exige aumento real de capacidade intelectual — não somente retenção.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848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 cultura atual é suficientemente sólida para sustentar evolução, desde que organizada.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848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 RH será cobrado por evidência, não por intenção.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848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 entrada do COO no H1 redistribuirá parte do escopo de gestão operacional — RH deve estar pronto para suportar essa transição.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4.2 Restrições confirmadas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486"/>
      </w:tblGrid>
      <w:tr>
        <w:trPr>
          <w:tblHeader/>
        </w:trP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8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Restrição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848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Capacidade dos líderes é limitada: múltiplas frentes competem pelo mesmo tempo.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848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Assimetria de maturidade de liderança entre áreas cria risco de implantação desigual.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848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Ausência de equipe dedicada de RH em algumas áreas aumenta dependência da Direção.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848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Orçamento de RH ainda não está granularizado por área — envelope macro disponível; detalhamento no B4.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Implicação prática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 RH opera em ciclos de 90 dias com WIP limitado. Muitas iniciativas simultâneas matam execução. Critério de prioridade: impacto em retenção + base para GPTW + viabilidade imediata.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Arquitetura gerencial — Objetivos e Programas</w:t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5.1 Objetivos Estratégicos do Ano (O1–O5)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Os cinco objetivos do RH 2026 estão definidos e não mudam no ciclo. Toda meta, iniciativa e evidência do RH vincula-se a pelo menos um objetivo.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26"/>
        <w:gridCol w:w="20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Objetivo Estratégico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Subpilar PE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O1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Reduzir rotatividade e proteger posições críticas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P5.S1 / P5.S2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O2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Aumentar maturidade de liderança — Escola de Líderes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P5.S1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O3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Corrigir os 4 gargalos de cultura operacional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P5.S3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O4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Institucionalizar gestão de desempenho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P5.S2 / P5.S4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O5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Consolidar marca empregadora e GPTW como disciplina anual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P5.S3 / P5.S4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5.2 Programas oficiais — estrutura única de execução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Toda iniciativa do RH 2026 opera dentro de um dos quatro programas. Não há iniciativa fora dessa estrutura.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Problema que resolve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Objetivos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Conecta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Ruído, baixa clareza de decisões (52%), colaboração frágil (59%)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O3, O5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Desenvolve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Maturidade desigual de liderança, ausência de ciclo de desempenho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O2, O4 (apoia O1)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Reconhece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Reconhecimento insuficiente (67–70%), risco de injustiça percebida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O3, O1, O5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Inova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Decisões reativas, ausência de People Analytics, GPTW sem evidência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O1–O5 (ênfase O5)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Regra inviolável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Iniciativa sem programa, sem dono e sem evidência mínima não entra no plano de RH 2026.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Placar do RH — KPIs e guardrails</w:t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6.1 KPIs mensais — não negociáveis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26"/>
        <w:gridCol w:w="1600"/>
        <w:gridCol w:w="1600"/>
      </w:tblGrid>
      <w:tr>
        <w:trPr>
          <w:tblHeader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Turnover total (YTD) — voluntário e involuntário por área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Turnover em posições críticas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TTF — tempo médio de preenchimento por criticidade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Churn 0–90 dias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Sucesso no 90º dia (permanência + critérios mínimos)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Conclusão do onboarding 45/90 por função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 + Líderes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Aderência de líderes a rituais mínimos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Pulso trimestral dos 4 gargalos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9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readiness (checklist + owners + evidências)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Mapa de posições críticas — risco de saída + plano ativo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6.2 Guardrails — quando o alerta acende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Nível</w:t>
            </w:r>
          </w:p>
        </w:tc>
      </w:tr>
      <w:tr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Turnover crescente por 2+ meses sem análise de causa raiz documentada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Saída de posição crítica sem plano de contenção ativo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Queda nos itens de decisões ou colaboração (pulso) por 2 ciclos consecutivos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ATENÇÃO</w:t>
            </w:r>
          </w:p>
        </w:tc>
      </w:tr>
      <w:tr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Onboarding com baixa conclusão ou churn 0–90 acima do limite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ATENÇÃO</w:t>
            </w:r>
          </w:p>
        </w:tc>
      </w:tr>
      <w:tr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Aderência de líderes a rituais abaixo de 70% por 2 meses consecutivos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readiness sem evolução por 2 ciclos trimestrais ou gaps sem owner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ATENÇÃO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8C6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Protocolo de guardrail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Qualquer guardrail acionado entra como pauta obrigatória no próximo MBR com plano de resposta documentado, dono e prazo.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Governança mínima — WBR / MBR / QBR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26"/>
        <w:gridCol w:w="2000"/>
      </w:tblGrid>
      <w:tr>
        <w:trPr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Pauta fixa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 RH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Semanal (Q1) / Quinzenal (Q2+)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Vagas críticas e aging · Onboarding 45/90 · Retenção ativa · Aderência de rituais · Log de decisões · Bloqueios e decisões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Lista de ações com dono e prazo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MBR RH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 — obrigatório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Placar KPIs + guardrails · Evolução das metas · Execução dos 4 programas · Decisões de orçamento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Ata + decisões + backlog de ações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QBR RH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Evolução O1–O5 · Escola de Líderes · Mapa de talentos · GPTW readiness e trilha de certificação · Ajuste de estrutura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Relatório de avanço + decisões estruturais + ajuste de WIP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C2340"/>
                <w:sz w:val="18"/>
                <w:szCs w:val="18"/>
              </w:rPr>
              <w:t xml:space="preserve">Regra de ouro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cadência, o plano vira intenção. WBR / MBR / QBR não são opcionais — são a garantia de execução. Ausência de cadência aciona guardrail de governança.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Entregas mínimas do ano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O RH 2026 não pode encerrar o ano sem as seguintes entregas. São a definição de sucesso mínimo aceito pela Direção: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2400"/>
        <w:gridCol w:w="2000"/>
      </w:tblGrid>
      <w:tr>
        <w:trPr>
          <w:tblHeader/>
        </w:trPr>
        <w:tc>
          <w:tcPr>
            <w:tcW w:type="dxa" w:w="46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Entrega mínima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4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Onboarding 45/90 implantado e medido com conclusão e avaliação por função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Desenvolve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Q2</w:t>
            </w:r>
          </w:p>
        </w:tc>
      </w:tr>
      <w:tr>
        <w:tc>
          <w:tcPr>
            <w:tcW w:type="dxa" w:w="4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Escola de Líderes operando com trilha, calendário, presença e NPS ≥ 60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Desenvolve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 (instalação)</w:t>
            </w:r>
          </w:p>
        </w:tc>
      </w:tr>
      <w:tr>
        <w:tc>
          <w:tcPr>
            <w:tcW w:type="dxa" w:w="4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Programa Reconhece com critério público e ritual mensal documentado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Reconhece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4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Ciclo de desempenho (metas + competências) com calendário e calibragem concluídos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Desenvolve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Q2/Q3</w:t>
            </w:r>
          </w:p>
        </w:tc>
      </w:tr>
      <w:tr>
        <w:tc>
          <w:tcPr>
            <w:tcW w:type="dxa" w:w="4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People Analytics: dicionário KPIs v1.0 + painel RH 1.0 + MBR mensal com dados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Inova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Q1/Q2</w:t>
            </w:r>
          </w:p>
        </w:tc>
      </w:tr>
      <w:tr>
        <w:tc>
          <w:tcPr>
            <w:tcW w:type="dxa" w:w="4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GPTW: plano anual publicado, readiness trimestral executado, certificação obtida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Inova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Ano todo</w:t>
            </w:r>
          </w:p>
        </w:tc>
      </w:tr>
      <w:tr>
        <w:tc>
          <w:tcPr>
            <w:tcW w:type="dxa" w:w="4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Comunicação interna: ritual de decisões, dono, cadência e repositório auditável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Conecta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b w:val="false"/>
          <w:bCs w:val="false"/>
          <w:color w:val="0C2340"/>
          <w:sz w:val="30"/>
          <w:szCs w:val="30"/>
        </w:rPr>
        <w:t xml:space="preserve">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O1–O5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Objetivos Estratégicos do Ano do RH — prioridades setoriais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Pilar Institucional do PE2026 — Pessoas, Liderança e Capacidade Intelectual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Conecta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Programa de comunicação interna e clareza organizacional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Desenvolve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Programa de liderança, competências e desempenho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Reconhece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Programa de reconhecimento e mérito com critério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Inova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Programa de People Analytics, automação e GPTW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TTF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Time-to-Fill — tempo médio de preenchimento de vaga (dias)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Churn 0–90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Desligamento dentro de 0 a 90 dias — proxy de qualidade de contratação/onboarding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readiness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Checklist trimestral de prontidão para certificação GPTW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Guardrail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Limite de segurança que, quando acionado, exige resposta imediata no MBR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Evidência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Prova objetiva de execução: log, checklist, ata, painel, resultado de pulso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PDI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Plano de Desenvolvimento Individual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People Analytics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Uso de dados de pessoas para orientar decisões de gestão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 / MBR / QBR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Cadências de revisão: semanal / mensal / trimestral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WIP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Work in Progress — número máximo de iniciativas simultâneas ativas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2"/>
      </w:pBdr>
      <w:spacing w:before="60" w:after="0" w:line="240"/>
    </w:pPr>
    <w:r>
      <w:rPr>
        <w:rFonts w:ascii="Calibri" w:cs="Calibri" w:eastAsia="Calibri" w:hAnsi="Calibri"/>
        <w:color w:val="94A3B8"/>
        <w:sz w:val="16"/>
        <w:szCs w:val="16"/>
      </w:rPr>
      <w:t xml:space="preserve">Confidencial — Uso interno da Direção</w:t>
    </w:r>
    <w:r>
      <w:rPr>
        <w:rFonts w:ascii="Calibri" w:cs="Calibri" w:eastAsia="Calibri" w:hAnsi="Calibri"/>
        <w:color w:val="94A3B8"/>
        <w:sz w:val="16"/>
        <w:szCs w:val="16"/>
      </w:rPr>
      <w:t xml:space="preserve">     Página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2"/>
      </w:pBdr>
      <w:spacing w:before="0" w:after="80" w:line="240"/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 Light" w:cs="Calibri Light" w:eastAsia="Calibri Light" w:hAnsi="Calibri Light"/>
        <w:color w:val="64748B"/>
        <w:sz w:val="16"/>
        <w:szCs w:val="16"/>
      </w:rPr>
      <w:t xml:space="preserve">   |   DOC 11-A — Caderno Gerencial RH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80"/>
      <w:outlineLvl w:val="0"/>
    </w:pPr>
    <w:rPr>
      <w:rFonts w:ascii="Calibri Light" w:cs="Calibri Light" w:eastAsia="Calibri Light" w:hAnsi="Calibri Light"/>
      <w:b w:val="false"/>
      <w:bCs w:val="false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2026-03-02T23:29:18.664Z</dcterms:created>
  <dcterms:modified xsi:type="dcterms:W3CDTF">2026-03-02T23:29:18.666Z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