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60"/>
      </w:pPr>
      <w:r>
        <w:rPr>
          <w:rFonts w:ascii="Calibri Light" w:cs="Calibri Light" w:eastAsia="Calibri Light" w:hAnsi="Calibri Light"/>
          <w:b/>
          <w:bCs/>
          <w:color w:val="2980B9"/>
          <w:sz w:val="22"/>
          <w:szCs w:val="22"/>
        </w:rPr>
        <w:t xml:space="preserve">PE 2026</w:t>
      </w:r>
    </w:p>
    <w:p>
      <w:pPr>
        <w:pBdr>
          <w:bottom w:val="single" w:color="2980B9" w:sz="8" w:space="6"/>
        </w:pBdr>
        <w:spacing w:after="10"/>
      </w:pPr>
      <w:r>
        <w:rPr>
          <w:rFonts w:ascii="Calibri Light" w:cs="Calibri Light" w:eastAsia="Calibri Light" w:hAnsi="Calibri Light"/>
          <w:color w:val="0C2340"/>
          <w:sz w:val="36"/>
          <w:szCs w:val="36"/>
        </w:rPr>
        <w:t xml:space="preserve">DOC 11-B.2 — Caderno Setorial Marketing — Execução</w:t>
      </w:r>
    </w:p>
    <w:p>
      <w:pPr>
        <w:spacing w:after="20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Programas · Iniciativas · Evidências · Plano Q1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Versão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C2340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Data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C2340"/>
                <w:sz w:val="18"/>
                <w:szCs w:val="18"/>
              </w:rPr>
              <w:t xml:space="preserve">Março/2026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Camada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C2340"/>
                <w:sz w:val="18"/>
                <w:szCs w:val="18"/>
              </w:rPr>
              <w:t xml:space="preserve">2 — MBR (Execução)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C2340"/>
                <w:sz w:val="18"/>
                <w:szCs w:val="18"/>
              </w:rPr>
              <w:t xml:space="preserve">Confidencial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C2340"/>
                <w:sz w:val="18"/>
                <w:szCs w:val="18"/>
              </w:rPr>
              <w:t xml:space="preserve">Cláudio Ribeiro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Base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C2340"/>
                <w:sz w:val="18"/>
                <w:szCs w:val="18"/>
              </w:rPr>
              <w:t xml:space="preserve">DOC 11-B.1 v2 + DOC 06 + DOC 08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Princípio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C2340"/>
                <w:sz w:val="18"/>
                <w:szCs w:val="18"/>
              </w:rPr>
              <w:t xml:space="preserve">Tudo é executável, auditável e cobrável</w:t>
            </w:r>
          </w:p>
        </w:tc>
      </w:tr>
    </w:tbl>
    <w:p>
      <w:r>
        <w:br w:type="page"/>
      </w:r>
    </w:p>
    <w:p>
      <w:pPr>
        <w:pBdr>
          <w:bottom w:val="single" w:color="2980B9" w:sz="4" w:space="4"/>
        </w:pBdr>
        <w:spacing w:before="100" w:after="200"/>
      </w:pPr>
      <w:r>
        <w:rPr>
          <w:rFonts w:ascii="Calibri Light" w:cs="Calibri Light" w:eastAsia="Calibri Light" w:hAnsi="Calibri Light"/>
          <w:color w:val="0C2340"/>
          <w:sz w:val="28"/>
          <w:szCs w:val="28"/>
        </w:rPr>
        <w:t xml:space="preserve">Sumário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1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Princípios de execução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2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Mapa de execução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3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B.2-P1 — Geração de Negócios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4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B.2-P2 — Presença Nacional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5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B.2-P3 — Provas de Valor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6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B.2-P4 — Eficiência Operacional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7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Plano 90 dias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8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Cadência e governança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pPr>
        <w:tabs>
          <w:tab w:val="right" w:pos="9360" w:leader="dot"/>
        </w:tabs>
        <w:spacing w:after="60"/>
      </w:pPr>
      <w:r>
        <w:rPr>
          <w:rFonts w:ascii="Calibri" w:cs="Calibri" w:eastAsia="Calibri" w:hAnsi="Calibri"/>
          <w:b/>
          <w:bCs/>
          <w:color w:val="2980B9"/>
          <w:sz w:val="19"/>
          <w:szCs w:val="19"/>
        </w:rPr>
        <w:t xml:space="preserve">9 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Glossário</w:t>
      </w:r>
      <w:r>
        <w:rPr>
          <w:rFonts w:ascii="Calibri" w:cs="Calibri" w:eastAsia="Calibri" w:hAnsi="Calibri"/>
          <w:sz w:val="19"/>
          <w:szCs w:val="19"/>
        </w:rPr>
        <w:t xml:space="preserve">	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1.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Princípios de execução e arquitetura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Sem programa não entra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Toda INIT pertence a B.2-P1, P2, P3 ou P4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Sem Sponsor+Dono não existe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Iniciativa sem dono não tem execução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WIP máx Q1: 3 pesadas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Mais de 3 mata execução no trimestre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Evidência obrigatória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Entrega sem evidência não conta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Tipo define comportamento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ROTINA: cadência fixa | IMPLANTAÇÃO: instala e vira rotina | PROJETO: início/fim</w:t>
            </w:r>
          </w:p>
        </w:tc>
      </w:tr>
    </w:tbl>
    <w:p>
      <w:pPr>
        <w:spacing w:before="26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Matriz de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Sponsor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Garante prioridade, destrava, cobra — nível Direção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Dono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Responde pelo resultado e evidência — 1 pessoa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Executa e entrega evidência — pode ser mais de um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Partners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Áreas necessárias: Comercial, CS, Produto/Dados, Operação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Sign-off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Valida que a entrega está concluída</w:t>
            </w:r>
          </w:p>
        </w:tc>
      </w:tr>
    </w:tbl>
    <w:p>
      <w:pPr>
        <w:pBdr>
          <w:left w:val="single" w:color="B8860B" w:sz="12" w:space="8"/>
        </w:pBdr>
        <w:spacing w:before="100" w:after="100"/>
        <w:ind w:left="20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Padrão de evidência: MKT2026/&lt;Programa&gt;/&lt;Iniciativa&gt;/EVID_AAAAMM_descrição.pdf|md|xlsx</w:t>
      </w: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2.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Mapa de execução — visão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1200"/>
        <w:gridCol w:w="1560"/>
      </w:tblGrid>
      <w:tr>
        <w:tc>
          <w:tcPr>
            <w:tcW w:type="dxa" w:w="26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Programa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KRs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Iniciativas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Obj.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Ativação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B.2-P1 Geração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KR-MKT-01 a 05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G1.1–G4.1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O1,O4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Q1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B.2-P2 Presença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KR-MKT-06 a 10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P1.1–P4.1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O2,O1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Q1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B.2-P3 Provas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KR-MKT-11 a 15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V1.1–V4.1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O3,O1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Q1</w:t>
            </w:r>
          </w:p>
        </w:tc>
      </w:tr>
      <w:tr>
        <w:tc>
          <w:tcPr>
            <w:tcW w:type="dxa" w:w="2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B.2-P4 Eficiência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KR-MKT-16 a 20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E1.1–E4.1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O4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Q1/Q2</w:t>
            </w:r>
          </w:p>
        </w:tc>
      </w:tr>
    </w:tbl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3.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B.2-P1 — Máquina de Geração de Negócios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Programa B.2-P1 — Geração de Negócios</w:t>
            </w:r>
          </w:p>
        </w:tc>
      </w:tr>
    </w:tbl>
    <w:p>
      <w:pPr>
        <w:spacing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Resolve: demanda informal, sem funil, sem critério, sem rastreabilidade.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G1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Critérios de lead qualificado + SLA formal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Q1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G2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Funil com etapas, passagem e CRM disciplinado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Q2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G3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Calendário de campanhas com meta por campanha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Q2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G4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Rotina semanal de funil (MKT + Comercial/Direção)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Q1</w:t>
            </w:r>
          </w:p>
        </w:tc>
      </w:tr>
    </w:tbl>
    <w:p>
      <w:pPr>
        <w:spacing w:before="200" w:after="80"/>
      </w:pPr>
      <w:r>
        <w:rPr>
          <w:rFonts w:ascii="Calibri" w:cs="Calibri" w:eastAsia="Calibri" w:hAnsi="Calibri"/>
          <w:b/>
          <w:bCs/>
          <w:color w:val="1B6CA8"/>
          <w:sz w:val="20"/>
          <w:szCs w:val="20"/>
        </w:rPr>
        <w:t xml:space="preserve">G1.1 — Critérios de lead qualificado e SLA [IMPLANTAÇÃO]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Por que existe: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Sem critério objetivo, MKT entrega volume e Comercial/CS reclama de qualidade. SLA alinha expectativas.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O que muda: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Leads passam a ter filtro objetivo. Devolução vira KPI. Qualidade supera volume.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Como executar: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(1) Definir perfil mínimo do lead qualificado. (2) Criar documento com exemplos. (3) Estabelecer regras de passagem. (4) Definir SLA de resposta. (5) Publicar. (6) Medir taxa de aceite mensal.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Critério de pronto: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✓ Documento publicado ✓ SLA documentado ✓ Taxa de aceite medida ✓ Revisão mensal no WBR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Evidências: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Documento versionado. Registro de SLA. Relatório mensal aceite/devolução.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Riscos: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Critério rígido → revisar trimestralmente. Comercial inexistente → Direção valida.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Responsabilidades: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Sponsor: Direção | Dono: MKT | Partners: Comercial/Direção, CS | Sign-off: Direção</w:t>
      </w:r>
    </w:p>
    <w:p>
      <w:pPr>
        <w:spacing w:before="40"/>
      </w:pP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B6CA8"/>
          <w:sz w:val="20"/>
          <w:szCs w:val="20"/>
        </w:rPr>
        <w:t xml:space="preserve">G2.1 — Funil de vendas com CRM [IMPLANTAÇÃO]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Por que existe: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Sem funil, pipeline é invisível. CRM sem disciplina vira banco morto.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O que muda: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Pipeline visível em tempo real. Decisões baseadas em dados de conversão.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Como executar: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(1) Definir etapas do funil. (2) Implementar no CRM. (3) Definir SLA por etapa. (4) Treinar equipe. (5) Publicar painel. (6) Revisar no WBR.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Critério de pronto: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✓ Funil ≥4 etapas no CRM ✓ ≥90% registros preenchidos ✓ Painel acessível ✓ WBR usando dados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Evidências: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CRM configurado. Painel de funil. Registros de WBR.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Responsabilidades: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Sponsor: Direção | Dono: MKT | Partners: Produto/Dados | Sign-off: Direção</w:t>
      </w:r>
    </w:p>
    <w:p>
      <w:pPr>
        <w:spacing w:before="40"/>
      </w:pP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B6CA8"/>
          <w:sz w:val="20"/>
          <w:szCs w:val="20"/>
        </w:rPr>
        <w:t xml:space="preserve">G3.1 — Calendário de campanhas [ROTINA]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Por que existe: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Campanhas sem planejamento dispersam investimento.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Como executar: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(1) Mapear segmentos prioritários. (2) Definir calendário semestral. (3) Produzir materiais com briefing padrão. (4) Executar com medição. (5) Consolidar no MBR.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Critério de pronto: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✓ Calendário semestral publicado ✓ ≥4 campanhas no H2 com relatório ✓ CPL medido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Evidências: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Calendário publicado. Relatórios por campanha. Painel CPL.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Responsabilidades: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Sponsor: Direção | Dono: MKT | Partners: CS, Produto/Dados</w:t>
      </w:r>
    </w:p>
    <w:p>
      <w:pPr>
        <w:spacing w:before="40"/>
      </w:pP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B6CA8"/>
          <w:sz w:val="20"/>
          <w:szCs w:val="20"/>
        </w:rPr>
        <w:t xml:space="preserve">G4.1 — Rotina semanal de funil [ROTINA]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Por que existe: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Funil sem cadência degrada. Rotina semanal mantém higiene e alinha MKT↔Comercial.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Como executar: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(1) Definir pauta fixa 30–45 min. (2) Executar semanalmente. (3) Registrar decisões. (4) Medir aderência.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Critério de pronto: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✓ 100% semanas com ritual ✓ Registro de decisões por sessão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Evidências: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Registros de WBR com ações.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Responsabilidades: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Sponsor: Direção | Dono: MKT | Partners: Comercial/Direção</w:t>
      </w:r>
    </w:p>
    <w:p>
      <w:pPr>
        <w:spacing w:before="40"/>
      </w:pP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4.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B.2-P2 — Presença Nacional e Autoridade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A23B7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Programa B.2-P2 — Presença Nacional | R$500K + R$100K</w:t>
            </w:r>
          </w:p>
        </w:tc>
      </w:tr>
    </w:tbl>
    <w:p>
      <w:pPr>
        <w:spacing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Resolve: presença pontual sem ROI. Envelope: R$500K feiras + R$100K campanha 10 anos.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P1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Calendário anual de feiras com tese/meta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Q1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P2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Pós-evento obrigatório com relatório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Por evento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P3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Agenda de autoridade: ≥6 ações/ano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Contínuo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P4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Campanha 10 anos Aero (R$100K)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Q2/Q3</w:t>
            </w:r>
          </w:p>
        </w:tc>
      </w:tr>
    </w:tbl>
    <w:p>
      <w:pPr>
        <w:spacing w:before="200" w:after="80"/>
      </w:pPr>
      <w:r>
        <w:rPr>
          <w:rFonts w:ascii="Calibri" w:cs="Calibri" w:eastAsia="Calibri" w:hAnsi="Calibri"/>
          <w:b/>
          <w:bCs/>
          <w:color w:val="1B6CA8"/>
          <w:sz w:val="20"/>
          <w:szCs w:val="20"/>
        </w:rPr>
        <w:t xml:space="preserve">P1.1 — Calendário anual de feiras [IMPLANTAÇÃO]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Por que existe: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Feira sem tese é custo. Calendário obriga justificativa, meta e compromisso antes do investimento.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Como executar: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(1) Mapear feiras de saúde relevantes. (2) Para cada: tese, meta, orçamento, responsável. (3) Fechar com Direção. (4) Publicar.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Critério de pronto: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✓ ≥4 feiras definidas ✓ Cada feira com tese+meta+orçamento ✓ Aprovação registrada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Evidências: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Calendário publicado. Registro de aprovação.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Responsabilidades: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Sponsor: Direção | Dono: MKT | Partners: Comercial, CS</w:t>
      </w:r>
    </w:p>
    <w:p>
      <w:pPr>
        <w:spacing w:before="40"/>
      </w:pP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B6CA8"/>
          <w:sz w:val="20"/>
          <w:szCs w:val="20"/>
        </w:rPr>
        <w:t xml:space="preserve">P2.1 — Relatório pós-evento obrigatório [ROTINA]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Por que existe: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Evento sem pós-evento é imagem sem retorno.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O que muda: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Cada evento gera relatório de resultado obrigatório. Sem relatório = falha.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Como executar: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(1) Template: contatos, reuniões, pipeline, ROI, aprendizados. (2) SLA: 10 dias úteis. (3) Publicar no MBR.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Critério de pronto: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✓ 100% eventos com relatório ✓ Dados de pipeline ✓ Sem relatório = falha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Evidências: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Relatórios arquivados. Dados de pipeline.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Riscos: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Evento sem retorno consome envelope → tese+meta prévios obrigatórios.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Responsabilidades: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Sponsor: Direção | Dono: MKT | Sign-off: Direção</w:t>
      </w:r>
    </w:p>
    <w:p>
      <w:pPr>
        <w:spacing w:before="40"/>
      </w:pP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B6CA8"/>
          <w:sz w:val="20"/>
          <w:szCs w:val="20"/>
        </w:rPr>
        <w:t xml:space="preserve">P3.1 — Agenda de autoridade técnica [ROTINA]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Por que existe: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Autoridade técnica reduz atrito e abre portas.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Como executar: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(1) Calendário semestral. (2) Conteúdo ancorado na tese “inteligência geográfica”. (3) Executar com registro.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Critério de pronto: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✓ ≥6 ações/ano executadas e registradas ✓ Follow-up documentado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Evidências: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Registros de cada ação com público e follow-up.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Responsabilidades: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Sponsor: Direção | Dono: MKT | Partners: Produto/Dados, P&amp;D</w:t>
      </w:r>
    </w:p>
    <w:p>
      <w:pPr>
        <w:spacing w:before="40"/>
      </w:pP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B6CA8"/>
          <w:sz w:val="20"/>
          <w:szCs w:val="20"/>
        </w:rPr>
        <w:t xml:space="preserve">P4.1 — Campanha 10 anos Aero [PROJETO]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Por que existe: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Oportunidade de posicionamento institucional com teto R$100K.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Como executar: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(1) Definir conceito e entregáveis. (2) Aprovar com Direção. (3) Produzir e executar dentro do teto. (4) Medir impacto.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Critério de pronto: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✓ Campanha executada dentro do teto ✓ Entregáveis publicados ✓ Relatório de resultado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Evidências: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Peças publicadas. Relatório de impacto.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Responsabilidades: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Sponsor: Direção | Dono: MKT | Partners: RH, todas as áreas</w:t>
      </w:r>
    </w:p>
    <w:p>
      <w:pPr>
        <w:spacing w:before="40"/>
      </w:pP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5.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B.2-P3 — Provas e Materiais de Decisão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18F0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Programa B.2-P3 — Provas de Valor</w:t>
            </w:r>
          </w:p>
        </w:tc>
      </w:tr>
    </w:tbl>
    <w:p>
      <w:pPr>
        <w:spacing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Resolve: ausência de biblioteca de provas; CS sem material de destrave institucional.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V1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Biblioteca por decisor: ≥5 kits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Q2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V2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Kits destrave CS: ≥3 ativos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Q2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V3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Templates de prova (case, ROI)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Q1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V4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Uso medido e reportado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Contínuo</w:t>
            </w:r>
          </w:p>
        </w:tc>
      </w:tr>
    </w:tbl>
    <w:p>
      <w:pPr>
        <w:spacing w:before="200" w:after="80"/>
      </w:pPr>
      <w:r>
        <w:rPr>
          <w:rFonts w:ascii="Calibri" w:cs="Calibri" w:eastAsia="Calibri" w:hAnsi="Calibri"/>
          <w:b/>
          <w:bCs/>
          <w:color w:val="1B6CA8"/>
          <w:sz w:val="20"/>
          <w:szCs w:val="20"/>
        </w:rPr>
        <w:t xml:space="preserve">V1.1 — Biblioteca de provas por decisor [IMPLANTAÇÃO]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Por que existe: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Sem prova estruturada, cada reunião reinventa o argumento. Biblioteca cria arsenal reutável.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O que muda: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CS e Comercial param de improvisar. Materiais escalam prova de valor.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Como executar: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(1) Mapear 5 perfis de decisor. (2) Identificar dores e argumentos. (3) Produzir ≥1 kit/perfil. (4) Publicar em repositório. (5) Medir uso.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Critério de pronto: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✓ ≥5 kits publicados ✓ Cada kit com case+dados+ROI ✓ Uso registrado no H2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Evidências: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Índice da biblioteca. Registro de uso. Feedback trimestral.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Riscos: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Biblioteca existe mas não é usada → uso vira KPI + ritual quinzenal com CS.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Responsabilidades: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Sponsor: Direção | Dono: MKT | Partners: Produto/Dados, CS, Operação</w:t>
      </w:r>
    </w:p>
    <w:p>
      <w:pPr>
        <w:spacing w:before="40"/>
      </w:pP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B6CA8"/>
          <w:sz w:val="20"/>
          <w:szCs w:val="20"/>
        </w:rPr>
        <w:t xml:space="preserve">V2.1 — Kits de destrave para CS [IMPLANTAÇÃO]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Por que existe: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CS precisa de material pronto para reunião — sem dependência de produção ad hoc.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Como executar: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(1) Levantar 3 cenários com CS. (2) Produzir kit/cenário. (3) Testar em campo. (4) Publicar e medir.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Critério de pronto: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✓ ≥3 kits ativos e testados ✓ CS usando com registro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Evidências: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Kits publicados. Registro de uso.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Responsabilidades: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Sponsor: Direção | Dono: MKT | Partners: CS | Sign-off: CS+Direção</w:t>
      </w:r>
    </w:p>
    <w:p>
      <w:pPr>
        <w:spacing w:before="40"/>
      </w:pP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B6CA8"/>
          <w:sz w:val="20"/>
          <w:szCs w:val="20"/>
        </w:rPr>
        <w:t xml:space="preserve">V3.1 — Templates de prova padronizados [IMPLANTAÇÃO]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Por que existe: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Sem template, cada prova é artesanal. Padronizar reduz ciclo e garante consistência.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Como executar: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(1) Definir 4 templates: case, ROI, comparativo, apresentação. (2) Criar modelo com guia. (3) Publicar e treinar.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Critério de pronto: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✓ 4 templates publicados ✓ Guia disponível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Evidências: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Templates e guia publicados.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Responsabilidades: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Sponsor: Direção | Dono: MKT | Partners: Produto/Dados</w:t>
      </w:r>
    </w:p>
    <w:p>
      <w:pPr>
        <w:spacing w:before="40"/>
      </w:pP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B6CA8"/>
          <w:sz w:val="20"/>
          <w:szCs w:val="20"/>
        </w:rPr>
        <w:t xml:space="preserve">V4.1 — Medição de uso das provas [ROTINA]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Por que existe: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Biblioteca sem uso é custo. Uso medido força adoção e melhoria.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Como executar: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(1) Definir registro simples de uso. (2) SLA: CS registra após reunião. (3) Consolidar mensal. (4) Revisar quinzenalmente.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Critério de pronto: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✓ Registro ativo ✓ ≥70% reuniões com prova no H2 ✓ Feedback gerando melhorias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Evidências: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Registro de uso. Consolidação mensal.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Responsabilidades: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Sponsor: Direção | Dono: MKT | Partners: CS, Comercial</w:t>
      </w:r>
    </w:p>
    <w:p>
      <w:pPr>
        <w:spacing w:before="40"/>
      </w:pP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6.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B.2-P4 — Eficiência Operacional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3B7A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Programa B.2-P4 — Eficiência Operacional do MKT</w:t>
            </w:r>
          </w:p>
        </w:tc>
      </w:tr>
    </w:tbl>
    <w:p>
      <w:pPr>
        <w:spacing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Resolve: retrabalho, ciclo lento de produção, ausência de métricas de custo.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c>
          <w:tcPr>
            <w:tcW w:type="dxa" w:w="12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E1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Briefing padrão + fluxo de aprovação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Q1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E2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Baseline retrabalho + meta −20%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Q1/Dez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E3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Painel mensal de métricas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Q2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E4</w:t>
            </w:r>
          </w:p>
        </w:tc>
        <w:tc>
          <w:tcPr>
            <w:tcW w:type="dxa" w:w="5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+2 contratações efetivadas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Q1/Q2</w:t>
            </w:r>
          </w:p>
        </w:tc>
      </w:tr>
    </w:tbl>
    <w:p>
      <w:pPr>
        <w:spacing w:before="200" w:after="80"/>
      </w:pPr>
      <w:r>
        <w:rPr>
          <w:rFonts w:ascii="Calibri" w:cs="Calibri" w:eastAsia="Calibri" w:hAnsi="Calibri"/>
          <w:b/>
          <w:bCs/>
          <w:color w:val="1B6CA8"/>
          <w:sz w:val="20"/>
          <w:szCs w:val="20"/>
        </w:rPr>
        <w:t xml:space="preserve">E1.1 — Briefing padrão e fluxo de aprovação [IMPLANTAÇÃO]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Por que existe: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Briefing vago gera retrabalho. Fluxo indefinido gera gargalo.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O que muda: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Demandas passam a ter padrão mínimo. Retrabalho é mensurável.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Como executar: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(1) Template de briefing mínimo. (2) Fluxo com SLA. (3) Publicar. (4) Medir aderência e retrabalho.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Critério de pronto: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✓ Template em uso ✓ Fluxo com SLA ✓ ≥80% demandas usando padrão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Evidências: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Template publicado. Fluxo documentado. Métrica de aderência.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Responsabilidades: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Sponsor: Direção | Dono: MKT</w:t>
      </w:r>
    </w:p>
    <w:p>
      <w:pPr>
        <w:spacing w:before="40"/>
      </w:pP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B6CA8"/>
          <w:sz w:val="20"/>
          <w:szCs w:val="20"/>
        </w:rPr>
        <w:t xml:space="preserve">E2.1 — Medição e redução de retrabalho [IMPLANTAÇÃO]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Por que existe: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Sem métrica, retrabalho é invisível. Medir é pré-condição para corrigir.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Como executar: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(1) Definir índice de retrabalho. (2) Baseline Q1. (3) Meta com base no baseline. (4) Acompanhar no MBR. (5) Corrigir causas.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Critério de pronto: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✓ Baseline até Abr/2026 ✓ Redução ≥20% até Dez/2026 ✓ Causas documentadas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Evidências: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Índice mensal. Registro de causas e correções.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Responsabilidades: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Sponsor: Direção | Dono: MKT</w:t>
      </w:r>
    </w:p>
    <w:p>
      <w:pPr>
        <w:spacing w:before="40"/>
      </w:pP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B6CA8"/>
          <w:sz w:val="20"/>
          <w:szCs w:val="20"/>
        </w:rPr>
        <w:t xml:space="preserve">E3.1 — Painel mensal de métricas [IMPLANTAÇÃO]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Por que existe: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Sem painel, MKT apresenta dados dispersos. Painel consolida KPIs com SLA.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Como executar: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(1) Escopo: KPIs dos 4 programas + custo. (2) Protótipo. (3) SLA D+5. (4) Ativar Mai/2026. (5) Usar no MBR.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Critério de pronto: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✓ Painel ativo Mai/2026 ✓ SLA ≥90% ciclos ✓ Usado no MBR com ações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Evidências: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Painel publicado. Registros de MBR.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Responsabilidades: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Sponsor: Direção | Dono: MKT | Partners: Produto/Dados</w:t>
      </w:r>
    </w:p>
    <w:p>
      <w:pPr>
        <w:spacing w:before="40"/>
      </w:pP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1B6CA8"/>
          <w:sz w:val="20"/>
          <w:szCs w:val="20"/>
        </w:rPr>
        <w:t xml:space="preserve">E4.1 — Contratações +2 Marketing [PROJETO]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Por que existe: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Equipe não sustenta escopo 2026. Ampliação aprovada.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Como executar: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(1) Definir perfis com RH. (2) Processo seletivo. (3) Contratar e integrar. (4) Alocar em programas.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Critério de pronto: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✓ 2 contratações até Q2 ✓ Onboarding concluído ✓ Alocação com entregáveis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Evidências: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Registro de contratação. Checklist onboarding.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Responsabilidades: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Sponsor: Direção | Dono: MKT+RH</w:t>
      </w:r>
    </w:p>
    <w:p>
      <w:pPr>
        <w:spacing w:before="40"/>
      </w:pPr>
    </w:p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7.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Plano de 90 dias — marcos Q1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Q1 instala o sistema mínimo. Máximo 3 iniciativas pesadas em paralelo.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40"/>
        <w:gridCol w:w="2040"/>
        <w:gridCol w:w="2040"/>
        <w:gridCol w:w="2040"/>
      </w:tblGrid>
      <w:tr>
        <w:tc>
          <w:tcPr>
            <w:tcW w:type="dxa" w:w="12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Horizonte</w:t>
            </w:r>
          </w:p>
        </w:tc>
        <w:tc>
          <w:tcPr>
            <w:tcW w:type="dxa" w:w="204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B.2-P1 Geração</w:t>
            </w:r>
          </w:p>
        </w:tc>
        <w:tc>
          <w:tcPr>
            <w:tcW w:type="dxa" w:w="204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B.2-P2 Presença</w:t>
            </w:r>
          </w:p>
        </w:tc>
        <w:tc>
          <w:tcPr>
            <w:tcW w:type="dxa" w:w="204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B.2-P3 Provas</w:t>
            </w:r>
          </w:p>
        </w:tc>
        <w:tc>
          <w:tcPr>
            <w:tcW w:type="dxa" w:w="204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B.2-P4 Eficiência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30 dias</w:t>
            </w:r>
          </w:p>
        </w:tc>
        <w:tc>
          <w:tcPr>
            <w:tcW w:type="dxa" w:w="204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Critérios lead definidos — CRM config.</w:t>
            </w:r>
          </w:p>
        </w:tc>
        <w:tc>
          <w:tcPr>
            <w:tcW w:type="dxa" w:w="204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Calendário feiras fechado</w:t>
            </w:r>
          </w:p>
        </w:tc>
        <w:tc>
          <w:tcPr>
            <w:tcW w:type="dxa" w:w="204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Perfis decisor mapeados</w:t>
            </w:r>
          </w:p>
        </w:tc>
        <w:tc>
          <w:tcPr>
            <w:tcW w:type="dxa" w:w="204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Briefing padrão definido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60 dias</w:t>
            </w:r>
          </w:p>
        </w:tc>
        <w:tc>
          <w:tcPr>
            <w:tcW w:type="dxa" w:w="204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SLA publicado — 1º WBR com dados</w:t>
            </w:r>
          </w:p>
        </w:tc>
        <w:tc>
          <w:tcPr>
            <w:tcW w:type="dxa" w:w="204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1ª feira com pós-evento</w:t>
            </w:r>
          </w:p>
        </w:tc>
        <w:tc>
          <w:tcPr>
            <w:tcW w:type="dxa" w:w="204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2 kits publicados</w:t>
            </w:r>
          </w:p>
        </w:tc>
        <w:tc>
          <w:tcPr>
            <w:tcW w:type="dxa" w:w="204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Baseline retrabalho — 1ª contratação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90 dias</w:t>
            </w:r>
          </w:p>
        </w:tc>
        <w:tc>
          <w:tcPr>
            <w:tcW w:type="dxa" w:w="204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Funil ativo com painel</w:t>
            </w:r>
          </w:p>
        </w:tc>
        <w:tc>
          <w:tcPr>
            <w:tcW w:type="dxa" w:w="204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Relatório publicado</w:t>
            </w:r>
          </w:p>
        </w:tc>
        <w:tc>
          <w:tcPr>
            <w:tcW w:type="dxa" w:w="204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Templates v1.0</w:t>
            </w:r>
          </w:p>
        </w:tc>
        <w:tc>
          <w:tcPr>
            <w:tcW w:type="dxa" w:w="204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Painel protótipo no MBR</w:t>
            </w:r>
          </w:p>
        </w:tc>
      </w:tr>
    </w:tbl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8.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Cadência e governança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400"/>
        <w:gridCol w:w="2760"/>
      </w:tblGrid>
      <w:tr>
        <w:tc>
          <w:tcPr>
            <w:tcW w:type="dxa" w:w="16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Cadência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Freq.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Foco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Saída obrigatória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WBR MKT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Semanal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Execução, evidências e bloqueios por programa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Ações com dono e prazo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MBR MKT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Placar KPIs + guardrails + 4 programas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Ata + decisões + backlog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QBR MKT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Trimestral</w:t>
            </w:r>
          </w:p>
        </w:tc>
        <w:tc>
          <w:tcPr>
            <w:tcW w:type="dxa" w:w="3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O1–O4, presença nacional, mercados, WIP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Relatório + ajuste prioridades</w:t>
            </w:r>
          </w:p>
        </w:tc>
      </w:tr>
    </w:tbl>
    <w:p>
      <w:pPr>
        <w:pBdr>
          <w:bottom w:val="single" w:color="2980B9" w:sz="6" w:space="4"/>
        </w:pBdr>
        <w:spacing w:before="360" w:after="160"/>
      </w:pPr>
      <w:r>
        <w:rPr>
          <w:rFonts w:ascii="Calibri Light" w:cs="Calibri Light" w:eastAsia="Calibri Light" w:hAnsi="Calibri Light"/>
          <w:b/>
          <w:bCs/>
          <w:color w:val="2980B9"/>
          <w:sz w:val="30"/>
          <w:szCs w:val="30"/>
        </w:rPr>
        <w:t xml:space="preserve">9.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2980B9" w:sz="6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ROTINA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Cadência fixa, nunca termina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IMPLANTAÇÃO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Instala sistema, depois vira rotina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PROJETO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Início, fim e entrega fechada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Evidência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Prova objetiva: relatório, painel, ata, checklist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DoD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Critério objetivo de conclusão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SLA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Nível de serviço acordado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WIP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Limite de iniciativas pesadas simultâneas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CPL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Custo por Lead qualificado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CRM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Sistema de gestão de funil e relacionamento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ROI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Retorno sobre investimento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Pipeline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Oportunidades em diferentes etapas do funil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Pós-evento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Rotina obrigatória de conversão de presença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WBR / MBR / QBR</w:t>
            </w:r>
          </w:p>
        </w:tc>
        <w:tc>
          <w:tcPr>
            <w:tcW w:type="dxa" w:w="6960"/>
            <w:tcBorders>
              <w:top w:val="none" w:sz="0"/>
              <w:left w:val="none" w:sz="0"/>
              <w:bottom w:val="single" w:color="E2E8F0" w:sz="4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Cadências semanal / mensal / trimestral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tabs>
        <w:tab w:val="right" w:pos="9360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Confidencial — Uso interno da Direção</w:t>
    </w:r>
    <w:r>
      <w:rPr>
        <w:rFonts w:ascii="Calibri" w:cs="Calibri" w:eastAsia="Calibri" w:hAnsi="Calibri"/>
        <w:sz w:val="14"/>
        <w:szCs w:val="14"/>
      </w:rPr>
      <w:t xml:space="preserve">	</w:t>
    </w:r>
    <w:r>
      <w:rPr>
        <w:rFonts w:ascii="Calibri" w:cs="Calibri" w:eastAsia="Calibri" w:hAnsi="Calibri"/>
        <w:color w:val="94A3B8"/>
        <w:sz w:val="14"/>
        <w:szCs w:val="14"/>
      </w:rPr>
      <w:t xml:space="preserve">Página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2980B9"/>
        <w:sz w:val="16"/>
        <w:szCs w:val="16"/>
      </w:rPr>
      <w:t xml:space="preserve">PE 2026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94A3B8"/>
        <w:sz w:val="16"/>
        <w:szCs w:val="16"/>
      </w:rPr>
      <w:t xml:space="preserve">DOC 11-B.2 v2 — MKT Execução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alibri Light" w:cs="Calibri Light" w:eastAsia="Calibri Light" w:hAnsi="Calibri Light"/>
      <w:color w:val="0C234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Calibri" w:cs="Calibri" w:eastAsia="Calibri" w:hAnsi="Calibri"/>
      <w:b/>
      <w:bCs/>
      <w:color w:val="163B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2026-03-13T21:15:18.639Z</dcterms:created>
  <dcterms:modified xsi:type="dcterms:W3CDTF">2026-03-13T21:15:18.641Z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