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</w:pPr>
      <w:r>
        <w:rPr>
          <w:rFonts w:ascii="Calibri Light" w:cs="Calibri Light" w:eastAsia="Calibri Light" w:hAnsi="Calibri Light"/>
          <w:b/>
          <w:bCs/>
          <w:color w:val="2980B9"/>
          <w:sz w:val="22"/>
          <w:szCs w:val="22"/>
        </w:rPr>
        <w:t xml:space="preserve">PE 2026</w:t>
      </w:r>
    </w:p>
    <w:p>
      <w:pPr>
        <w:pBdr>
          <w:bottom w:val="single" w:color="2980B9" w:sz="8" w:space="6"/>
        </w:pBdr>
        <w:spacing w:after="10"/>
      </w:pPr>
      <w:r>
        <w:rPr>
          <w:rFonts w:ascii="Calibri Light" w:cs="Calibri Light" w:eastAsia="Calibri Light" w:hAnsi="Calibri Light"/>
          <w:color w:val="0C2340"/>
          <w:sz w:val="40"/>
          <w:szCs w:val="40"/>
        </w:rPr>
        <w:t xml:space="preserve">DOC 11-B — Caderno Gerencial Marketing 2026</w:t>
      </w:r>
    </w:p>
    <w:p>
      <w:pPr>
        <w:spacing w:after="20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Mandato · Fronteiras · Subpilares · Envelope · Placar · Governança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Versão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Camada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2 — MBR (Caderno Gerencial)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LR-06 (rastreabilidade) · LR-08 (terminologia) · Envelope MKT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Referência PE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Pilar P2 (Crescimento) · P3 (Escala) · P4 (Produto/Dados) · P5 (Pessoas)</w:t>
            </w:r>
          </w:p>
        </w:tc>
      </w:tr>
    </w:tbl>
    <w:p>
      <w:r>
        <w:br w:type="page"/>
      </w:r>
    </w:p>
    <w:p>
      <w:pPr>
        <w:pBdr>
          <w:bottom w:val="single" w:color="2980B9" w:sz="4" w:space="4"/>
        </w:pBdr>
        <w:spacing w:before="100" w:after="200"/>
      </w:pP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Sumário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Contexto e justificativa estratégica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2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Mandato do Marketing em 2026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3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Fronteiras e interfaces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4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Premissas e restrições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5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Arquitetura gerencial — Objetivos e Programas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6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Envelope orçamentário 2026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7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Placar do Marketing — KPIs e guardrails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8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Governança mínima — WBR / MBR / QBR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9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Entregas mínimas do ano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10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Identidade visual por programa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11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Rastreabilidade e dependências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12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Glossário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Contexto e justificativa estratégica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é o primeiro ano em que Marketing opera como área estratégica formalizada no PE, com envelope dedicado e cobrança mensurável. O diagnóstico 2025 confirma que a empresa possui base de reputação positiva e produção competente, mas expõe três gargalos que limitam o crescimento: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800"/>
        <w:gridCol w:w="1560"/>
      </w:tblGrid>
      <w:tr>
        <w:tc>
          <w:tcPr>
            <w:tcW w:type="dxa" w:w="3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 2025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2026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Geração de demanda qualificada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Informal, sem funil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 com KPI mensal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Presença nacional estruturada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Pontual, sem ROI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4 feiras + pós-evento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RELEVANTE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Biblioteca de provas de valor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Inexistente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≥ 5 kits por decisor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3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Eficiência operacional MKT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Sem métricas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Painel mensal ativo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RELEVANTE</w:t>
            </w:r>
          </w:p>
        </w:tc>
      </w:tr>
    </w:tbl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Marketing não atua como área de comunicação. Atua como motor de crescimento e reputação: instala funil, garante prova, exige evidência de resultado.</w:t>
      </w:r>
    </w:p>
    <w:p>
      <w:pPr>
        <w:pBdr>
          <w:left w:val="single" w:color="0C2340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Vínculo PE2026: o Marketing contribui diretamente para P2 (Crescimento e Monetização), P3 (Escala com Margem), P4 (Produto/Dados como Valor) e P5 (Pessoas — contratações). A prova de valor do Marketing é condição para destrave de demanda e ativação da base contratual.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Mandato do Marketing em 2026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2.1 O que o Marketing garante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Marketing opera em 2026 como função estratégica de crescimento e reputação, com seis responsabilidades inegociáveis: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 executiva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Geração de demanda qualificada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 com critérios, SLA com Comercial (quando estruturado), CRM disciplinado. Volume sem qualidade não conta.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Presença nacional com retorno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Agenda de feiras/eventos com tese, meta e pós-evento obrigatório. Envelope R$500K. Evento sem ROI é falha.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Prova de valor como ativo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Biblioteca de provas por decisor e por dor. Kits de destrave institucional para CS e Comercial. Uso medido.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Marca e posicionamento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Reposicionamento Aero como “inteligência geográfica”. Consistência institucional. Campanha 10 anos (R$100K).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Eficiência de produção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Padrões de briefing, calendário editorial, métricas de custo por canal. Redução de retrabalho mensurável.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Suporte ao funil (interim)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Até estruturação do Comercial, Marketing sustenta topo do funil e CRM. Não substitui conversão.</w:t>
            </w:r>
          </w:p>
        </w:tc>
      </w:tr>
    </w:tbl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2.2 O que o Marketing não faz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Para evitar dispersão e captura por demandas operacionais, estão explicitamente fora do escopo: fechamento de contrato (Comercial); execução e operação em campo (Operação); ativação de demanda como rotina de execução (CS); construção de produto e dados (Produto/Dados/P&amp;D); ser o único responsável por conversão — Comercial e CS são corresponsáveis.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Fronteiras e interfaces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efetividade do Marketing depende de fronteiras claras. Ambiguidade de papel gera retrabalho e decisões lentas.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 / Entrega esperada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Direção Executiva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Patrocina programas; valida posicionamento; é contraparte de funil até entrada do Comercial; destrava decisões de investimento.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Comercial (em construção)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Conversão e fechamento. Marketing entrega demanda com critério e nutrição. Até estruturação, Direção assume contrapartida.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CS / Relacionamento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Ativação de demanda e retenção. Marketing entrega prova e materiais de decisão para destrave institucional.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Produto/Dados/P&amp;D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 técnica para prova (ROI, comparativos, evidências). Marketing traduz em narrativa e materiais de decisão.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Operação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Evidências de campo e prova de execução para alimentar biblioteca de provas.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RH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Onboarding das +2 contratações MKT. Marca empregadora quando aplicável.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Financeiro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Viabilidade de investimentos: custos de feiras, envelope por programa, ROI por canal.</w:t>
            </w:r>
          </w:p>
        </w:tc>
      </w:tr>
    </w:tbl>
    <w:p>
      <w:pPr>
        <w:pBdr>
          <w:left w:val="single" w:color="B8860B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Regras de fronteira: Marketing gera condições de decisão; não substitui CS na condução do relacionamento. Feiras só entram com tese, meta e pós-evento. Orçamento é aprovado pela Direção e acompanhado no MBR.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Premissas e restrições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Premissas operacionais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Reposicionamento como “inteligência geográfica” amplia mercado endereçável e reduz comoditização.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Crescimento externo precisa ser explícito — expansão não pode ser subproduto do plano interno.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Contrato público sob demanda exige prova e ritual — destrave não se dá por entrega técnica sozinha.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Presença nacional é alavanca de aquisição e autoridade, não ação de imagem. Envelope: R$500K.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Campanha 10 anos Aero é oportunidade de posicionamento com teto de R$100K.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+2 contratações aprovadas ampliam capacidade para sustentar escopo 2026.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Área Comercial em construção — Marketing sustenta topo do funil até estruturação.</w:t>
            </w:r>
          </w:p>
        </w:tc>
      </w:tr>
    </w:tbl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4.2 Restrições confirmadas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Comercial inexistente como área formal — conversão depende da Direção e de CS até contratação.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Biblioteca de provas parte do zero — depende de Produto/Dados para base técnica.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Equipe atual reduzida (ampliação +2 prevista para Q1/Q2) — WIP limitado até entrada efetiva.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Orçamento granular por programa ainda não finalizado — envelope macro disponível; detalhe no B4.</w:t>
            </w:r>
          </w:p>
        </w:tc>
      </w:tr>
    </w:tbl>
    <w:p>
      <w:pPr>
        <w:pBdr>
          <w:left w:val="single" w:color="B8860B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Implicação prática: o Marketing opera com WIP limitado no Q1 (máx. 3 frentes pesadas). Critério de prioridade: impacto em monetização + prova de valor + viabilidade imediata.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Arquitetura gerencial — Objetivos e Programas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5.1 Objetivos Estratégicos do Ano (O1–O4)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Os quatro objetivos do Marketing 2026 estão definidos e não mudam no ciclo. Toda meta, iniciativa e evidência vincula-se a pelo menos um objetivo.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c>
          <w:tcPr>
            <w:tcW w:type="dxa" w:w="9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 Estratégico</w:t>
            </w:r>
          </w:p>
        </w:tc>
        <w:tc>
          <w:tcPr>
            <w:tcW w:type="dxa" w:w="46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Pilar PE / OKR Corporativo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O1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Gerar demanda qualificada com previsibilidade e método</w:t>
            </w:r>
          </w:p>
        </w:tc>
        <w:tc>
          <w:tcPr>
            <w:tcW w:type="dxa" w:w="46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P2 (OKR-P2) · P4 (OKR-P4)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O2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Construir presença nacional com retorno mensurável</w:t>
            </w:r>
          </w:p>
        </w:tc>
        <w:tc>
          <w:tcPr>
            <w:tcW w:type="dxa" w:w="46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P2 (OKR-P2) · P1 (OKR-P1)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O3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Transformar entrega técnica em prova que move decisão</w:t>
            </w:r>
          </w:p>
        </w:tc>
        <w:tc>
          <w:tcPr>
            <w:tcW w:type="dxa" w:w="46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P2 (OKR-P2) · P4 (OKR-P4)</w:t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O4</w:t>
            </w:r>
          </w:p>
        </w:tc>
        <w:tc>
          <w:tcPr>
            <w:tcW w:type="dxa" w:w="3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Operar com eficiência e capacidade de escala</w:t>
            </w:r>
          </w:p>
        </w:tc>
        <w:tc>
          <w:tcPr>
            <w:tcW w:type="dxa" w:w="46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P3 (OKR-P3) · P5 (OKR-P5)</w:t>
            </w:r>
          </w:p>
        </w:tc>
      </w:tr>
    </w:tbl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5.2 Programas oficiais — estrutura única de execução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Toda iniciativa do Marketing 2026 opera dentro de um dos quatro programas. Não há iniciativa fora dessa estrutura.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400"/>
        <w:gridCol w:w="21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 que resolve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Objetivos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Ativação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B.2-P1 — Máquina de Geração de Negócios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Demanda informal, sem funil, sem critério, sem rastreabilidade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O1, O4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B.2-P2 — Presença Nacional e Autoridade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Presença pontual sem ROI, sem pós-evento, sem cadeia de resultado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O2, O1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B.2-P3 — Provas e Materiais de Decisão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Ausência de biblioteca de provas; CS sem material de destrave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O3, O1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B.2-P4 — Eficiência Operacional do MKT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Retrabalho, ciclo lento, ausência de métricas de custo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O4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Q1/Q2</w:t>
            </w:r>
          </w:p>
        </w:tc>
      </w:tr>
    </w:tbl>
    <w:p>
      <w:pPr>
        <w:pBdr>
          <w:left w:val="single" w:color="0C2340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Regra inviolável: iniciativa sem programa, sem dono e sem evidência mínima não entra no plano de Marketing 2026.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Envelope orçamentário 2026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envelope consolida calibrações aprovadas pela Direção. Base: realizado 2025 + investimentos específicos autorizados.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2760"/>
      </w:tblGrid>
      <w:tr>
        <w:tc>
          <w:tcPr>
            <w:tcW w:type="dxa" w:w="3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Vínculo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Feiras de saúde (presença nacional)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R$ 500.000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Aprovado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Programa B.2-P2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Campanha 10 anos Aero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R$ 100.000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Teto aprovado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INIT em B.2-P2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+2 contratações Marketing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R$ 120–180K/ano*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Aprovado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Capacidade MKT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Produção e mídia (funil, CRM)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 dimensionar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 2025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B.2-P1 e B.2-P4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Biblioteca de provas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 dimensionar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 2025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Programa B.2-P3</w:t>
            </w:r>
          </w:p>
        </w:tc>
      </w:tr>
    </w:tbl>
    <w:p>
      <w:pPr>
        <w:pBdr>
          <w:left w:val="single" w:color="B8860B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*Estimativa: R$5–7,5K/mês cada + encargos. Valores finais no DOC 09 / Anexo Financeiro (B4).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Placar do Marketing — KPIs e guardrails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7.1 KPIs mensais — não negociáveis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200"/>
        <w:gridCol w:w="1560"/>
        <w:gridCol w:w="1800"/>
      </w:tblGrid>
      <w:tr>
        <w:tc>
          <w:tcPr>
            <w:tcW w:type="dxa" w:w="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KPI-11B-01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Demanda qualificada gerada (leads qualificados)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B.2-P1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KPI-11B-02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Custo por lead qualificado e por oportunidade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B.2-P1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KPI-11B-03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Conversão por etapa do funil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B.2-P1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KPI-11B-04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Qualidade do lead (aceite Comercial; devolução)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B.2-P1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KPI-11B-05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Agenda de autoridade executada (feiras/webinars com resultado)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B.2-P2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KPI-11B-06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Presença nacional e reputação (imprensa, parcerias)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B.2-P2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KPI-11B-07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Consistência institucional (materiais padronizados)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B.2-P2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KPI-11B-08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Biblioteca de provas ativa (cobertura por decisor)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B.2-P3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KPI-11B-09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Uso efetivo das provas (adoção CS/Comercial)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B.2-P3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KPI-11B-10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Tempo de ciclo de produção (briefing → entrega)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B.2-P4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KPI-11B-11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Retrabalho (índice de revisões/refações)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B.2-P4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KPI-11B-12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Custo de produção por entrega (digital/offline)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B.2-P4</w:t>
            </w:r>
          </w:p>
        </w:tc>
      </w:tr>
    </w:tbl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7.2 Guardrails — quando o alerta acende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</w:tr>
      <w:tr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Funil sem leads qualificados por 2+ meses sem análise de causa documentada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⚠ CRÍTICO</w:t>
            </w:r>
          </w:p>
        </w:tc>
      </w:tr>
      <w:tr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Feira/evento sem relatório pós-evento com resultados (contatos, pipeline)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⚠ CRÍTICO</w:t>
            </w:r>
          </w:p>
        </w:tc>
      </w:tr>
      <w:tr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Biblioteca de provas sem uso registrado por CS/Comercial em 2 ciclos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⚠ ATENÇÃO</w:t>
            </w:r>
          </w:p>
        </w:tc>
      </w:tr>
      <w:tr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Retrabalho crescente por 2+ meses sem correção de causa raiz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⚠ ATENÇÃO</w:t>
            </w:r>
          </w:p>
        </w:tc>
      </w:tr>
      <w:tr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Campanha/ação sem métrica de resultado por 2+ ciclos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⚠ ATENÇÃO</w:t>
            </w:r>
          </w:p>
        </w:tc>
      </w:tr>
      <w:tr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Subexecução de envelope por 2 trimestres sem justificativa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⚠ CRÍTICO</w:t>
            </w:r>
          </w:p>
        </w:tc>
      </w:tr>
    </w:tbl>
    <w:p>
      <w:pPr>
        <w:pBdr>
          <w:left w:val="single" w:color="C0392B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Protocolo: qualquer guardrail acionado entra como pauta obrigatória no próximo MBR com plano de resposta documentado, dono e prazo.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Governança mínima — WBR / MBR / QBR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400"/>
        <w:gridCol w:w="316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Pauta fixa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WBR MKT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Semanal (30–45 min)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 e campanhas ativas · Qualidade de leads · Gargalos de produção · Bloqueios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Lista de ações com dono e prazo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MBR MKT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 (90 min)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Placar KPIs + guardrails · Execução dos 4 programas · Custos e ROI · Orçamento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Ata + decisões + backlog de ações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QBR MKT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Trimestral (2h)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O1–O4 evolução · Posicionamento · Agenda nacional · Mercados · Ajuste de WIP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Relatório de avanço + decisões + ajuste</w:t>
            </w:r>
          </w:p>
        </w:tc>
      </w:tr>
    </w:tbl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Interfaces por cadência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Ritual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43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Agenda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Semanal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MKT + Comercial/Direção*</w:t>
            </w:r>
          </w:p>
        </w:tc>
        <w:tc>
          <w:tcPr>
            <w:tcW w:type="dxa" w:w="4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Funil, campanhas, gargalos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Quinzenal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MKT + CS + Produto/Dados</w:t>
            </w:r>
          </w:p>
        </w:tc>
        <w:tc>
          <w:tcPr>
            <w:tcW w:type="dxa" w:w="4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Provas, kits de destrave, feedback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MKT + Direção</w:t>
            </w:r>
          </w:p>
        </w:tc>
        <w:tc>
          <w:tcPr>
            <w:tcW w:type="dxa" w:w="4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KPIs, custos, decisões de investimento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MKT + Direção (QBR)</w:t>
            </w:r>
          </w:p>
        </w:tc>
        <w:tc>
          <w:tcPr>
            <w:tcW w:type="dxa" w:w="4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Posicionamento, mercados, aprendizados</w:t>
            </w:r>
          </w:p>
        </w:tc>
      </w:tr>
    </w:tbl>
    <w:p>
      <w:pPr>
        <w:pBdr>
          <w:left w:val="single" w:color="B8860B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*Até que Comercial esteja estruturado, ritual semanal opera com Direção no papel de contraparte de funil.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Entregas mínimas do ano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Marketing 2026 não pode encerrar o ano sem: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2160"/>
      </w:tblGrid>
      <w:tr>
        <w:tc>
          <w:tcPr>
            <w:tcW w:type="dxa" w:w="4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 mínima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4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Funil definido com critérios, SLA e CRM disciplinado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B.2-P1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4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Calendário anual de feiras fechado com tese/meta por evento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B.2-P2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4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Campanha 10 anos Aero executada (teto R$100K)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B.2-P2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Q2/Q3</w:t>
            </w:r>
          </w:p>
        </w:tc>
      </w:tr>
      <w:tr>
        <w:tc>
          <w:tcPr>
            <w:tcW w:type="dxa" w:w="4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Biblioteca de provas com ≥ 5 kits por perfil de decisor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B.2-P3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Q2</w:t>
            </w:r>
          </w:p>
        </w:tc>
      </w:tr>
      <w:tr>
        <w:tc>
          <w:tcPr>
            <w:tcW w:type="dxa" w:w="4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Padrão de briefing implantado com métrica de retrabalho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B.2-P4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4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Painel mensal de métricas por canal ativo e usado no MBR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B.2-P4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Q2</w:t>
            </w:r>
          </w:p>
        </w:tc>
      </w:tr>
      <w:tr>
        <w:tc>
          <w:tcPr>
            <w:tcW w:type="dxa" w:w="4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+2 contratações de Marketing efetivadas</w:t>
            </w:r>
          </w:p>
        </w:tc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2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Q1/Q2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10.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Identidade visual por programa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Para manter consistência entre cadernos e Roteiros de Execução (RE-MKT), cada programa possui cor identificadora: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 HEX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Geração de Negócios (B.2-P1)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#2E86AB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A23B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Presença Nacional (B.2-P2)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#A23B72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8F0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Provas de Valor (B.2-P3)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#F18F01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3B7A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Eficiência Operacional (B.2-P4)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#3B7A57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11.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Rastreabilidade e dependências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Decisões registradas neste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DEC-11B-01</w:t>
            </w:r>
          </w:p>
        </w:tc>
        <w:tc>
          <w:tcPr>
            <w:tcW w:type="dxa" w:w="7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Marketing 2026 opera como motor de crescimento, reputação e eficiência (não apenas comunicação).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DEC-11B-02</w:t>
            </w:r>
          </w:p>
        </w:tc>
        <w:tc>
          <w:tcPr>
            <w:tcW w:type="dxa" w:w="7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Reposicionamento da Aero como “inteligência geográfica”.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DEC-11B-03</w:t>
            </w:r>
          </w:p>
        </w:tc>
        <w:tc>
          <w:tcPr>
            <w:tcW w:type="dxa" w:w="7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Marketing apoia ativação de demanda com provas e materiais; execução do saldo é CS/Operação.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DEC-11B-04</w:t>
            </w:r>
          </w:p>
        </w:tc>
        <w:tc>
          <w:tcPr>
            <w:tcW w:type="dxa" w:w="7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Feiras/eventos só entram com tese, meta e pós-evento obrigatório. Envelope R$500K.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DEC-11B-05</w:t>
            </w:r>
          </w:p>
        </w:tc>
        <w:tc>
          <w:tcPr>
            <w:tcW w:type="dxa" w:w="7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Campanha 10 anos como INIT dentro de B.2-P2, teto R$100K.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DEC-11B-06</w:t>
            </w:r>
          </w:p>
        </w:tc>
        <w:tc>
          <w:tcPr>
            <w:tcW w:type="dxa" w:w="7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+2 contratações de Marketing aprovadas para 2026.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DEC-11B-07</w:t>
            </w:r>
          </w:p>
        </w:tc>
        <w:tc>
          <w:tcPr>
            <w:tcW w:type="dxa" w:w="7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Até estruturação do Comercial, Marketing sustenta topo do funil e CRM.</w:t>
            </w:r>
          </w:p>
        </w:tc>
      </w:tr>
    </w:tbl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Dependências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Este documento alimenta: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DOC 11-B.1 (OKRs MKT); DOC 11-B.2 (Execução); Placar Integrado (DOC 11-H); DOC 04 (Crescimento).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Este documento depende de: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DOC 02 (Estratégia Master); DOC 06 (OKRs Corporativos); DOC 07 (Metas); evidências técnicas (Produto/Dados).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OKRs/KPIs relacionados: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OKR-P2 (Monetização); OKR-P3 (Escala/Margem); OKR-P4 (Produto/Dados); OKR-P5 (Pessoas). KPI-11B-01 a KPI-11B-12.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12.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O1–O4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Objetivos Estratégicos do Ano do Marketing — prioridades setoriais 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Lead qualificado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Contato com perfil e sinais mínimos para avançar no funil (MQL/SQL)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Funil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Etapas que transformam interesse em oportunidade e contrato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Biblioteca de provas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Repositório organizado de cases, comparativos, ROI e evidências para decisão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Nutrição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Sequência de comunicação para evoluir maturidade do decisor até a decisão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CRM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Sistema de gestão de relacionamento com clientes e funil de vendas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SLA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Nível de serviço acordado entre áreas — descumprimento aciona guardrail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Pós-evento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Rotina obrigatória para converter presença em resultado (pipeline, reuniões)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Reposicionamento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Mudança estratégica de percepção da marca e proposta de valor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Guardrail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Limite de segurança que, quando acionado, exige resposta imediata no MBR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Evidência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Prova objetiva de execução: relatório, painel, ata, checklist, resultado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WIP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Work in Progress — número máximo de iniciativas pesadas simultâneas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WBR / MBR / QBR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Cadências de revisão: semanal / mensal / trimestral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ROI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Retorno sobre investimento — métrica de resultado financeiro por ação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36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DOC 11-B v2 — Caderno Gerencial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 Light" w:cs="Calibri Light" w:eastAsia="Calibri Light" w:hAnsi="Calibri Light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2026-03-13T20:54:39.259Z</dcterms:created>
  <dcterms:modified xsi:type="dcterms:W3CDTF">2026-03-13T20:54:39.260Z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