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60"/>
      </w:pPr>
      <w:r>
        <w:rPr>
          <w:rFonts w:ascii="Calibri Light" w:cs="Calibri Light" w:eastAsia="Calibri Light" w:hAnsi="Calibri Light"/>
          <w:b/>
          <w:bCs/>
          <w:color w:val="2980B9"/>
          <w:sz w:val="22"/>
          <w:szCs w:val="22"/>
        </w:rPr>
        <w:t xml:space="preserve">PE 2026</w:t>
      </w:r>
    </w:p>
    <w:p>
      <w:pPr>
        <w:pBdr>
          <w:bottom w:val="single" w:color="2980B9" w:sz="8" w:space="6"/>
        </w:pBdr>
        <w:spacing w:after="10"/>
      </w:pPr>
      <w:r>
        <w:rPr>
          <w:rFonts w:ascii="Calibri Light" w:cs="Calibri Light" w:eastAsia="Calibri Light" w:hAnsi="Calibri Light"/>
          <w:color w:val="0C2340"/>
          <w:sz w:val="36"/>
          <w:szCs w:val="36"/>
        </w:rPr>
        <w:t xml:space="preserve">RE-MKT — Roteiro de Execução · Marketing 2026</w:t>
      </w:r>
    </w:p>
    <w:p>
      <w:pPr>
        <w:spacing w:after="200"/>
      </w:pPr>
      <w:r>
        <w:rPr>
          <w:rFonts w:ascii="Calibri" w:cs="Calibri" w:eastAsia="Calibri" w:hAnsi="Calibri"/>
          <w:color w:val="64748B"/>
          <w:sz w:val="22"/>
          <w:szCs w:val="22"/>
        </w:rPr>
        <w:t xml:space="preserve">Camada 3 · WBR · 16 Iniciativas · 4 Programas</w:t>
      </w: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400"/>
      </w:tblGrid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4748B"/>
                <w:sz w:val="18"/>
                <w:szCs w:val="18"/>
              </w:rPr>
              <w:t xml:space="preserve">Versão</w:t>
            </w:r>
          </w:p>
        </w:tc>
        <w:tc>
          <w:tcPr>
            <w:tcW w:type="dxa" w:w="5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C2340"/>
                <w:sz w:val="18"/>
                <w:szCs w:val="18"/>
              </w:rPr>
              <w:t xml:space="preserve">1.0 — Março/2026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4748B"/>
                <w:sz w:val="18"/>
                <w:szCs w:val="18"/>
              </w:rPr>
              <w:t xml:space="preserve">Camada</w:t>
            </w:r>
          </w:p>
        </w:tc>
        <w:tc>
          <w:tcPr>
            <w:tcW w:type="dxa" w:w="5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C2340"/>
                <w:sz w:val="18"/>
                <w:szCs w:val="18"/>
              </w:rPr>
              <w:t xml:space="preserve">3 — WBR (Roteiro de Execução)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4748B"/>
                <w:sz w:val="18"/>
                <w:szCs w:val="18"/>
              </w:rPr>
              <w:t xml:space="preserve">Referência</w:t>
            </w:r>
          </w:p>
        </w:tc>
        <w:tc>
          <w:tcPr>
            <w:tcW w:type="dxa" w:w="5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C2340"/>
                <w:sz w:val="18"/>
                <w:szCs w:val="18"/>
              </w:rPr>
              <w:t xml:space="preserve">DOC 11-B.2 v2 + DOC 11-B.1 v2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4748B"/>
                <w:sz w:val="18"/>
                <w:szCs w:val="18"/>
              </w:rPr>
              <w:t xml:space="preserve">Classificação</w:t>
            </w:r>
          </w:p>
        </w:tc>
        <w:tc>
          <w:tcPr>
            <w:tcW w:type="dxa" w:w="5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C2340"/>
                <w:sz w:val="18"/>
                <w:szCs w:val="18"/>
              </w:rPr>
              <w:t xml:space="preserve">Confidencial — Uso interno da Direção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4748B"/>
                <w:sz w:val="18"/>
                <w:szCs w:val="18"/>
              </w:rPr>
              <w:t xml:space="preserve">Responsável</w:t>
            </w:r>
          </w:p>
        </w:tc>
        <w:tc>
          <w:tcPr>
            <w:tcW w:type="dxa" w:w="5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C2340"/>
                <w:sz w:val="18"/>
                <w:szCs w:val="18"/>
              </w:rPr>
              <w:t xml:space="preserve">Cláudio Ribeiro — Direção Executiva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4748B"/>
                <w:sz w:val="18"/>
                <w:szCs w:val="18"/>
              </w:rPr>
              <w:t xml:space="preserve">Envelope MKT</w:t>
            </w:r>
          </w:p>
        </w:tc>
        <w:tc>
          <w:tcPr>
            <w:tcW w:type="dxa" w:w="5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C2340"/>
                <w:sz w:val="18"/>
                <w:szCs w:val="18"/>
              </w:rPr>
              <w:t xml:space="preserve">R$ 793–950K total | Roteiro: R$ 163–305K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4748B"/>
                <w:sz w:val="18"/>
                <w:szCs w:val="18"/>
              </w:rPr>
              <w:t xml:space="preserve">Iniciativas</w:t>
            </w:r>
          </w:p>
        </w:tc>
        <w:tc>
          <w:tcPr>
            <w:tcW w:type="dxa" w:w="5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C2340"/>
                <w:sz w:val="18"/>
                <w:szCs w:val="18"/>
              </w:rPr>
              <w:t xml:space="preserve">16 INITs · 4 Programas · P0/P1</w:t>
            </w:r>
          </w:p>
        </w:tc>
      </w:tr>
    </w:tbl>
    <w:p>
      <w:r>
        <w:br w:type="page"/>
      </w:r>
    </w:p>
    <w:p>
      <w:pPr>
        <w:pBdr>
          <w:bottom w:val="single" w:color="2980B9" w:sz="4" w:space="4"/>
        </w:pBdr>
        <w:spacing w:before="100" w:after="200"/>
      </w:pPr>
      <w:r>
        <w:rPr>
          <w:rFonts w:ascii="Calibri Light" w:cs="Calibri Light" w:eastAsia="Calibri Light" w:hAnsi="Calibri Light"/>
          <w:color w:val="0C2340"/>
          <w:sz w:val="28"/>
          <w:szCs w:val="28"/>
        </w:rPr>
        <w:t xml:space="preserve">Sumário</w:t>
      </w:r>
    </w:p>
    <w:p>
      <w:pPr>
        <w:tabs>
          <w:tab w:val="right" w:pos="9360" w:leader="dot"/>
        </w:tabs>
        <w:spacing w:after="60"/>
      </w:pPr>
      <w:r>
        <w:rPr>
          <w:rFonts w:ascii="Calibri" w:cs="Calibri" w:eastAsia="Calibri" w:hAnsi="Calibri"/>
          <w:b/>
          <w:bCs/>
          <w:color w:val="2980B9"/>
          <w:sz w:val="19"/>
          <w:szCs w:val="19"/>
        </w:rPr>
        <w:t xml:space="preserve">1 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Contexto e princípios</w:t>
      </w:r>
      <w:r>
        <w:rPr>
          <w:rFonts w:ascii="Calibri" w:cs="Calibri" w:eastAsia="Calibri" w:hAnsi="Calibri"/>
          <w:sz w:val="19"/>
          <w:szCs w:val="19"/>
        </w:rPr>
        <w:t xml:space="preserve">	</w:t>
      </w:r>
    </w:p>
    <w:p>
      <w:pPr>
        <w:tabs>
          <w:tab w:val="right" w:pos="9360" w:leader="dot"/>
        </w:tabs>
        <w:spacing w:after="60"/>
      </w:pPr>
      <w:r>
        <w:rPr>
          <w:rFonts w:ascii="Calibri" w:cs="Calibri" w:eastAsia="Calibri" w:hAnsi="Calibri"/>
          <w:b/>
          <w:bCs/>
          <w:color w:val="2980B9"/>
          <w:sz w:val="19"/>
          <w:szCs w:val="19"/>
        </w:rPr>
        <w:t xml:space="preserve">2 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Estrutura operacional</w:t>
      </w:r>
      <w:r>
        <w:rPr>
          <w:rFonts w:ascii="Calibri" w:cs="Calibri" w:eastAsia="Calibri" w:hAnsi="Calibri"/>
          <w:sz w:val="19"/>
          <w:szCs w:val="19"/>
        </w:rPr>
        <w:t xml:space="preserve">	</w:t>
      </w:r>
    </w:p>
    <w:p>
      <w:pPr>
        <w:tabs>
          <w:tab w:val="right" w:pos="9360" w:leader="dot"/>
        </w:tabs>
        <w:spacing w:after="60"/>
      </w:pPr>
      <w:r>
        <w:rPr>
          <w:rFonts w:ascii="Calibri" w:cs="Calibri" w:eastAsia="Calibri" w:hAnsi="Calibri"/>
          <w:b/>
          <w:bCs/>
          <w:color w:val="2980B9"/>
          <w:sz w:val="19"/>
          <w:szCs w:val="19"/>
        </w:rPr>
        <w:t xml:space="preserve">3 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Envelope orçamentário</w:t>
      </w:r>
      <w:r>
        <w:rPr>
          <w:rFonts w:ascii="Calibri" w:cs="Calibri" w:eastAsia="Calibri" w:hAnsi="Calibri"/>
          <w:sz w:val="19"/>
          <w:szCs w:val="19"/>
        </w:rPr>
        <w:t xml:space="preserve">	</w:t>
      </w:r>
    </w:p>
    <w:p>
      <w:pPr>
        <w:tabs>
          <w:tab w:val="right" w:pos="9360" w:leader="dot"/>
        </w:tabs>
        <w:spacing w:after="60"/>
      </w:pPr>
      <w:r>
        <w:rPr>
          <w:rFonts w:ascii="Calibri" w:cs="Calibri" w:eastAsia="Calibri" w:hAnsi="Calibri"/>
          <w:b/>
          <w:bCs/>
          <w:color w:val="2980B9"/>
          <w:sz w:val="19"/>
          <w:szCs w:val="19"/>
        </w:rPr>
        <w:t xml:space="preserve">4 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B.2-P1 Geração de Negócios</w:t>
      </w:r>
      <w:r>
        <w:rPr>
          <w:rFonts w:ascii="Calibri" w:cs="Calibri" w:eastAsia="Calibri" w:hAnsi="Calibri"/>
          <w:sz w:val="19"/>
          <w:szCs w:val="19"/>
        </w:rPr>
        <w:t xml:space="preserve">	</w:t>
      </w:r>
    </w:p>
    <w:p>
      <w:pPr>
        <w:tabs>
          <w:tab w:val="right" w:pos="9360" w:leader="dot"/>
        </w:tabs>
        <w:spacing w:after="60"/>
      </w:pPr>
      <w:r>
        <w:rPr>
          <w:rFonts w:ascii="Calibri" w:cs="Calibri" w:eastAsia="Calibri" w:hAnsi="Calibri"/>
          <w:b/>
          <w:bCs/>
          <w:color w:val="2980B9"/>
          <w:sz w:val="19"/>
          <w:szCs w:val="19"/>
        </w:rPr>
        <w:t xml:space="preserve">5 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B.2-P2 Presença Nacional</w:t>
      </w:r>
      <w:r>
        <w:rPr>
          <w:rFonts w:ascii="Calibri" w:cs="Calibri" w:eastAsia="Calibri" w:hAnsi="Calibri"/>
          <w:sz w:val="19"/>
          <w:szCs w:val="19"/>
        </w:rPr>
        <w:t xml:space="preserve">	</w:t>
      </w:r>
    </w:p>
    <w:p>
      <w:pPr>
        <w:tabs>
          <w:tab w:val="right" w:pos="9360" w:leader="dot"/>
        </w:tabs>
        <w:spacing w:after="60"/>
      </w:pPr>
      <w:r>
        <w:rPr>
          <w:rFonts w:ascii="Calibri" w:cs="Calibri" w:eastAsia="Calibri" w:hAnsi="Calibri"/>
          <w:b/>
          <w:bCs/>
          <w:color w:val="2980B9"/>
          <w:sz w:val="19"/>
          <w:szCs w:val="19"/>
        </w:rPr>
        <w:t xml:space="preserve">6 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B.2-P3 Provas de Valor</w:t>
      </w:r>
      <w:r>
        <w:rPr>
          <w:rFonts w:ascii="Calibri" w:cs="Calibri" w:eastAsia="Calibri" w:hAnsi="Calibri"/>
          <w:sz w:val="19"/>
          <w:szCs w:val="19"/>
        </w:rPr>
        <w:t xml:space="preserve">	</w:t>
      </w:r>
    </w:p>
    <w:p>
      <w:pPr>
        <w:tabs>
          <w:tab w:val="right" w:pos="9360" w:leader="dot"/>
        </w:tabs>
        <w:spacing w:after="60"/>
      </w:pPr>
      <w:r>
        <w:rPr>
          <w:rFonts w:ascii="Calibri" w:cs="Calibri" w:eastAsia="Calibri" w:hAnsi="Calibri"/>
          <w:b/>
          <w:bCs/>
          <w:color w:val="2980B9"/>
          <w:sz w:val="19"/>
          <w:szCs w:val="19"/>
        </w:rPr>
        <w:t xml:space="preserve">7 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B.2-P4 Eficiência Operacional</w:t>
      </w:r>
      <w:r>
        <w:rPr>
          <w:rFonts w:ascii="Calibri" w:cs="Calibri" w:eastAsia="Calibri" w:hAnsi="Calibri"/>
          <w:sz w:val="19"/>
          <w:szCs w:val="19"/>
        </w:rPr>
        <w:t xml:space="preserve">	</w:t>
      </w:r>
    </w:p>
    <w:p>
      <w:pPr>
        <w:tabs>
          <w:tab w:val="right" w:pos="9360" w:leader="dot"/>
        </w:tabs>
        <w:spacing w:after="60"/>
      </w:pPr>
      <w:r>
        <w:rPr>
          <w:rFonts w:ascii="Calibri" w:cs="Calibri" w:eastAsia="Calibri" w:hAnsi="Calibri"/>
          <w:b/>
          <w:bCs/>
          <w:color w:val="2980B9"/>
          <w:sz w:val="19"/>
          <w:szCs w:val="19"/>
        </w:rPr>
        <w:t xml:space="preserve">8 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Painel WBR</w:t>
      </w:r>
      <w:r>
        <w:rPr>
          <w:rFonts w:ascii="Calibri" w:cs="Calibri" w:eastAsia="Calibri" w:hAnsi="Calibri"/>
          <w:sz w:val="19"/>
          <w:szCs w:val="19"/>
        </w:rPr>
        <w:t xml:space="preserve">	</w:t>
      </w:r>
    </w:p>
    <w:p>
      <w:pPr>
        <w:tabs>
          <w:tab w:val="right" w:pos="9360" w:leader="dot"/>
        </w:tabs>
        <w:spacing w:after="60"/>
      </w:pPr>
      <w:r>
        <w:rPr>
          <w:rFonts w:ascii="Calibri" w:cs="Calibri" w:eastAsia="Calibri" w:hAnsi="Calibri"/>
          <w:b/>
          <w:bCs/>
          <w:color w:val="2980B9"/>
          <w:sz w:val="19"/>
          <w:szCs w:val="19"/>
        </w:rPr>
        <w:t xml:space="preserve">9 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Glossário operacional</w:t>
      </w:r>
      <w:r>
        <w:rPr>
          <w:rFonts w:ascii="Calibri" w:cs="Calibri" w:eastAsia="Calibri" w:hAnsi="Calibri"/>
          <w:sz w:val="19"/>
          <w:szCs w:val="19"/>
        </w:rPr>
        <w:t xml:space="preserve">	</w:t>
      </w:r>
    </w:p>
    <w:p>
      <w:r>
        <w:br w:type="page"/>
      </w:r>
    </w:p>
    <w:p>
      <w:pPr>
        <w:pBdr>
          <w:bottom w:val="single" w:color="2980B9" w:sz="6" w:space="4"/>
        </w:pBdr>
        <w:spacing w:before="360" w:after="160"/>
      </w:pPr>
      <w:r>
        <w:rPr>
          <w:rFonts w:ascii="Calibri Light" w:cs="Calibri Light" w:eastAsia="Calibri Light" w:hAnsi="Calibri Light"/>
          <w:b/>
          <w:bCs/>
          <w:color w:val="2980B9"/>
          <w:sz w:val="30"/>
          <w:szCs w:val="30"/>
        </w:rPr>
        <w:t xml:space="preserve">1.  </w:t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Contexto e princípios do Roteiro</w:t>
      </w:r>
    </w:p>
    <w:p>
      <w:pPr>
        <w:spacing w:after="80" w:line="264"/>
        <w:jc w:val="both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O RE-MKT é a Camada 3 do PE2026 — o roteiro operacional que traduz as iniciativas do DOC 11-B.2 em ações concretas para o WBR semanal. Cada iniciativa tem responsável com nome, custo estimado, semáforo de status e critério de encerramento verificável.</w:t>
      </w:r>
    </w:p>
    <w:p>
      <w:pPr>
        <w:pBdr>
          <w:left w:val="single" w:color="0C2340" w:sz="12" w:space="8"/>
        </w:pBdr>
        <w:spacing w:before="100" w:after="100"/>
        <w:ind w:left="200"/>
      </w:pPr>
      <w:r>
        <w:rPr>
          <w:rFonts w:ascii="Calibri" w:cs="Calibri" w:eastAsia="Calibri" w:hAnsi="Calibri"/>
          <w:i/>
          <w:iCs/>
          <w:color w:val="64748B"/>
          <w:sz w:val="19"/>
          <w:szCs w:val="19"/>
        </w:rPr>
        <w:t xml:space="preserve">Camada 3 é aditiva. O RE-MKT não altera documentos da Camada 1 (estratégia) nem da Camada 2 (programas). Apenas operacionaliza.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one" w:sz="0"/>
              <w:left w:val="none" w:sz="0"/>
              <w:bottom w:val="single" w:color="2980B9" w:sz="6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Princípio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single" w:color="2980B9" w:sz="6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Aplicação no RE-MKT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Dono com nome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Cada INIT tem 1 pessoa nomeada — não “área”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Custo estimado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Faixa de investimento por INIT — dentro do envelope MKT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Semáforo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Verde · Amarelo · Vermelho — atualizado todo WBR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Evidência verificável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O que comprova conclusão — não narrativa de progresso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Prazo explícito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Data de início e marco de fim — sem “em andamento” indefinido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Linguagem operacional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“Limite de gasto” em vez de “envelope”; “quem faz o quê” em vez de “RACI”</w:t>
            </w:r>
          </w:p>
        </w:tc>
      </w:tr>
    </w:tbl>
    <w:p>
      <w:pPr>
        <w:pBdr>
          <w:bottom w:val="single" w:color="2980B9" w:sz="6" w:space="4"/>
        </w:pBdr>
        <w:spacing w:before="360" w:after="160"/>
      </w:pPr>
      <w:r>
        <w:rPr>
          <w:rFonts w:ascii="Calibri Light" w:cs="Calibri Light" w:eastAsia="Calibri Light" w:hAnsi="Calibri Light"/>
          <w:b/>
          <w:bCs/>
          <w:color w:val="2980B9"/>
          <w:sz w:val="30"/>
          <w:szCs w:val="30"/>
        </w:rPr>
        <w:t xml:space="preserve">2.  </w:t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Estrutura operacional — programas e iniciativas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400"/>
        <w:gridCol w:w="1400"/>
        <w:gridCol w:w="800"/>
        <w:gridCol w:w="1400"/>
        <w:gridCol w:w="1160"/>
      </w:tblGrid>
      <w:tr>
        <w:tc>
          <w:tcPr>
            <w:tcW w:type="dxa" w:w="800"/>
            <w:tcBorders>
              <w:top w:val="none" w:sz="0"/>
              <w:left w:val="none" w:sz="0"/>
              <w:bottom w:val="single" w:color="2980B9" w:sz="6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Cód.</w:t>
            </w:r>
          </w:p>
        </w:tc>
        <w:tc>
          <w:tcPr>
            <w:tcW w:type="dxa" w:w="3400"/>
            <w:tcBorders>
              <w:top w:val="none" w:sz="0"/>
              <w:left w:val="none" w:sz="0"/>
              <w:bottom w:val="single" w:color="2980B9" w:sz="6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Iniciativa</w:t>
            </w:r>
          </w:p>
        </w:tc>
        <w:tc>
          <w:tcPr>
            <w:tcW w:type="dxa" w:w="1400"/>
            <w:tcBorders>
              <w:top w:val="none" w:sz="0"/>
              <w:left w:val="none" w:sz="0"/>
              <w:bottom w:val="single" w:color="2980B9" w:sz="6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Programa</w:t>
            </w:r>
          </w:p>
        </w:tc>
        <w:tc>
          <w:tcPr>
            <w:tcW w:type="dxa" w:w="800"/>
            <w:tcBorders>
              <w:top w:val="none" w:sz="0"/>
              <w:left w:val="none" w:sz="0"/>
              <w:bottom w:val="single" w:color="2980B9" w:sz="6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Prio.</w:t>
            </w:r>
          </w:p>
        </w:tc>
        <w:tc>
          <w:tcPr>
            <w:tcW w:type="dxa" w:w="1400"/>
            <w:tcBorders>
              <w:top w:val="none" w:sz="0"/>
              <w:left w:val="none" w:sz="0"/>
              <w:bottom w:val="single" w:color="2980B9" w:sz="6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Custo Est.</w:t>
            </w:r>
          </w:p>
        </w:tc>
        <w:tc>
          <w:tcPr>
            <w:tcW w:type="dxa" w:w="1160"/>
            <w:tcBorders>
              <w:top w:val="none" w:sz="0"/>
              <w:left w:val="none" w:sz="0"/>
              <w:bottom w:val="single" w:color="2980B9" w:sz="6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G1.1</w:t>
            </w:r>
          </w:p>
        </w:tc>
        <w:tc>
          <w:tcPr>
            <w:tcW w:type="dxa" w:w="3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Critérios lead + SLA</w:t>
            </w:r>
          </w:p>
        </w:tc>
        <w:tc>
          <w:tcPr>
            <w:tcW w:type="dxa" w:w="1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Geração</w:t>
            </w:r>
          </w:p>
        </w:tc>
        <w:tc>
          <w:tcPr>
            <w:tcW w:type="dxa" w:w="8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P0</w:t>
            </w:r>
          </w:p>
        </w:tc>
        <w:tc>
          <w:tcPr>
            <w:tcW w:type="dxa" w:w="1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R$ 0</w:t>
            </w:r>
          </w:p>
        </w:tc>
        <w:tc>
          <w:tcPr>
            <w:tcW w:type="dxa" w:w="116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🟢</w:t>
            </w:r>
          </w:p>
        </w:tc>
      </w:tr>
      <w:tr>
        <w:tc>
          <w:tcPr>
            <w:tcW w:type="dxa" w:w="8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G2.1</w:t>
            </w:r>
          </w:p>
        </w:tc>
        <w:tc>
          <w:tcPr>
            <w:tcW w:type="dxa" w:w="3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Funil CRM disciplinado</w:t>
            </w:r>
          </w:p>
        </w:tc>
        <w:tc>
          <w:tcPr>
            <w:tcW w:type="dxa" w:w="1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Geração</w:t>
            </w:r>
          </w:p>
        </w:tc>
        <w:tc>
          <w:tcPr>
            <w:tcW w:type="dxa" w:w="8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P0</w:t>
            </w:r>
          </w:p>
        </w:tc>
        <w:tc>
          <w:tcPr>
            <w:tcW w:type="dxa" w:w="1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R$ 15–30K</w:t>
            </w:r>
          </w:p>
        </w:tc>
        <w:tc>
          <w:tcPr>
            <w:tcW w:type="dxa" w:w="116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🟢</w:t>
            </w:r>
          </w:p>
        </w:tc>
      </w:tr>
      <w:tr>
        <w:tc>
          <w:tcPr>
            <w:tcW w:type="dxa" w:w="8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G3.1</w:t>
            </w:r>
          </w:p>
        </w:tc>
        <w:tc>
          <w:tcPr>
            <w:tcW w:type="dxa" w:w="3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Calendário campanhas</w:t>
            </w:r>
          </w:p>
        </w:tc>
        <w:tc>
          <w:tcPr>
            <w:tcW w:type="dxa" w:w="1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Geração</w:t>
            </w:r>
          </w:p>
        </w:tc>
        <w:tc>
          <w:tcPr>
            <w:tcW w:type="dxa" w:w="8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P1</w:t>
            </w:r>
          </w:p>
        </w:tc>
        <w:tc>
          <w:tcPr>
            <w:tcW w:type="dxa" w:w="1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R$ 50–80K</w:t>
            </w:r>
          </w:p>
        </w:tc>
        <w:tc>
          <w:tcPr>
            <w:tcW w:type="dxa" w:w="116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🟢</w:t>
            </w:r>
          </w:p>
        </w:tc>
      </w:tr>
      <w:tr>
        <w:tc>
          <w:tcPr>
            <w:tcW w:type="dxa" w:w="8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G4.1</w:t>
            </w:r>
          </w:p>
        </w:tc>
        <w:tc>
          <w:tcPr>
            <w:tcW w:type="dxa" w:w="3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Rotina semanal funil</w:t>
            </w:r>
          </w:p>
        </w:tc>
        <w:tc>
          <w:tcPr>
            <w:tcW w:type="dxa" w:w="1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Geração</w:t>
            </w:r>
          </w:p>
        </w:tc>
        <w:tc>
          <w:tcPr>
            <w:tcW w:type="dxa" w:w="8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P0</w:t>
            </w:r>
          </w:p>
        </w:tc>
        <w:tc>
          <w:tcPr>
            <w:tcW w:type="dxa" w:w="1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R$ 0</w:t>
            </w:r>
          </w:p>
        </w:tc>
        <w:tc>
          <w:tcPr>
            <w:tcW w:type="dxa" w:w="116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🟢</w:t>
            </w:r>
          </w:p>
        </w:tc>
      </w:tr>
      <w:tr>
        <w:tc>
          <w:tcPr>
            <w:tcW w:type="dxa" w:w="8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P1.1</w:t>
            </w:r>
          </w:p>
        </w:tc>
        <w:tc>
          <w:tcPr>
            <w:tcW w:type="dxa" w:w="3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Calendário feiras</w:t>
            </w:r>
          </w:p>
        </w:tc>
        <w:tc>
          <w:tcPr>
            <w:tcW w:type="dxa" w:w="1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Presença</w:t>
            </w:r>
          </w:p>
        </w:tc>
        <w:tc>
          <w:tcPr>
            <w:tcW w:type="dxa" w:w="8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P0</w:t>
            </w:r>
          </w:p>
        </w:tc>
        <w:tc>
          <w:tcPr>
            <w:tcW w:type="dxa" w:w="1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R$ 0</w:t>
            </w:r>
          </w:p>
        </w:tc>
        <w:tc>
          <w:tcPr>
            <w:tcW w:type="dxa" w:w="116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🟢</w:t>
            </w:r>
          </w:p>
        </w:tc>
      </w:tr>
      <w:tr>
        <w:tc>
          <w:tcPr>
            <w:tcW w:type="dxa" w:w="8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P2.1</w:t>
            </w:r>
          </w:p>
        </w:tc>
        <w:tc>
          <w:tcPr>
            <w:tcW w:type="dxa" w:w="3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Pós-evento obrigatório</w:t>
            </w:r>
          </w:p>
        </w:tc>
        <w:tc>
          <w:tcPr>
            <w:tcW w:type="dxa" w:w="1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Presença</w:t>
            </w:r>
          </w:p>
        </w:tc>
        <w:tc>
          <w:tcPr>
            <w:tcW w:type="dxa" w:w="8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P0</w:t>
            </w:r>
          </w:p>
        </w:tc>
        <w:tc>
          <w:tcPr>
            <w:tcW w:type="dxa" w:w="1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R$ 0</w:t>
            </w:r>
          </w:p>
        </w:tc>
        <w:tc>
          <w:tcPr>
            <w:tcW w:type="dxa" w:w="116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🟢</w:t>
            </w:r>
          </w:p>
        </w:tc>
      </w:tr>
      <w:tr>
        <w:tc>
          <w:tcPr>
            <w:tcW w:type="dxa" w:w="8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P3.1</w:t>
            </w:r>
          </w:p>
        </w:tc>
        <w:tc>
          <w:tcPr>
            <w:tcW w:type="dxa" w:w="3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Agenda autoridade</w:t>
            </w:r>
          </w:p>
        </w:tc>
        <w:tc>
          <w:tcPr>
            <w:tcW w:type="dxa" w:w="1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Presença</w:t>
            </w:r>
          </w:p>
        </w:tc>
        <w:tc>
          <w:tcPr>
            <w:tcW w:type="dxa" w:w="8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P1</w:t>
            </w:r>
          </w:p>
        </w:tc>
        <w:tc>
          <w:tcPr>
            <w:tcW w:type="dxa" w:w="1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R$ 20–35K</w:t>
            </w:r>
          </w:p>
        </w:tc>
        <w:tc>
          <w:tcPr>
            <w:tcW w:type="dxa" w:w="116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🟢</w:t>
            </w:r>
          </w:p>
        </w:tc>
      </w:tr>
      <w:tr>
        <w:tc>
          <w:tcPr>
            <w:tcW w:type="dxa" w:w="8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P4.1</w:t>
            </w:r>
          </w:p>
        </w:tc>
        <w:tc>
          <w:tcPr>
            <w:tcW w:type="dxa" w:w="3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Campanha 10 anos</w:t>
            </w:r>
          </w:p>
        </w:tc>
        <w:tc>
          <w:tcPr>
            <w:tcW w:type="dxa" w:w="1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Presença</w:t>
            </w:r>
          </w:p>
        </w:tc>
        <w:tc>
          <w:tcPr>
            <w:tcW w:type="dxa" w:w="8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P1</w:t>
            </w:r>
          </w:p>
        </w:tc>
        <w:tc>
          <w:tcPr>
            <w:tcW w:type="dxa" w:w="1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R$ 80–100K</w:t>
            </w:r>
          </w:p>
        </w:tc>
        <w:tc>
          <w:tcPr>
            <w:tcW w:type="dxa" w:w="116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🟢</w:t>
            </w:r>
          </w:p>
        </w:tc>
      </w:tr>
      <w:tr>
        <w:tc>
          <w:tcPr>
            <w:tcW w:type="dxa" w:w="8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V1.1</w:t>
            </w:r>
          </w:p>
        </w:tc>
        <w:tc>
          <w:tcPr>
            <w:tcW w:type="dxa" w:w="3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Biblioteca provas</w:t>
            </w:r>
          </w:p>
        </w:tc>
        <w:tc>
          <w:tcPr>
            <w:tcW w:type="dxa" w:w="1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Provas</w:t>
            </w:r>
          </w:p>
        </w:tc>
        <w:tc>
          <w:tcPr>
            <w:tcW w:type="dxa" w:w="8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P0</w:t>
            </w:r>
          </w:p>
        </w:tc>
        <w:tc>
          <w:tcPr>
            <w:tcW w:type="dxa" w:w="1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R$ 10–20K</w:t>
            </w:r>
          </w:p>
        </w:tc>
        <w:tc>
          <w:tcPr>
            <w:tcW w:type="dxa" w:w="116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🟢</w:t>
            </w:r>
          </w:p>
        </w:tc>
      </w:tr>
      <w:tr>
        <w:tc>
          <w:tcPr>
            <w:tcW w:type="dxa" w:w="8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V2.1</w:t>
            </w:r>
          </w:p>
        </w:tc>
        <w:tc>
          <w:tcPr>
            <w:tcW w:type="dxa" w:w="3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Kits destrave CS</w:t>
            </w:r>
          </w:p>
        </w:tc>
        <w:tc>
          <w:tcPr>
            <w:tcW w:type="dxa" w:w="1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Provas</w:t>
            </w:r>
          </w:p>
        </w:tc>
        <w:tc>
          <w:tcPr>
            <w:tcW w:type="dxa" w:w="8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P0</w:t>
            </w:r>
          </w:p>
        </w:tc>
        <w:tc>
          <w:tcPr>
            <w:tcW w:type="dxa" w:w="1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R$ 5–10K</w:t>
            </w:r>
          </w:p>
        </w:tc>
        <w:tc>
          <w:tcPr>
            <w:tcW w:type="dxa" w:w="116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🟢</w:t>
            </w:r>
          </w:p>
        </w:tc>
      </w:tr>
      <w:tr>
        <w:tc>
          <w:tcPr>
            <w:tcW w:type="dxa" w:w="8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V3.1</w:t>
            </w:r>
          </w:p>
        </w:tc>
        <w:tc>
          <w:tcPr>
            <w:tcW w:type="dxa" w:w="3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Templates prova</w:t>
            </w:r>
          </w:p>
        </w:tc>
        <w:tc>
          <w:tcPr>
            <w:tcW w:type="dxa" w:w="1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Provas</w:t>
            </w:r>
          </w:p>
        </w:tc>
        <w:tc>
          <w:tcPr>
            <w:tcW w:type="dxa" w:w="8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P1</w:t>
            </w:r>
          </w:p>
        </w:tc>
        <w:tc>
          <w:tcPr>
            <w:tcW w:type="dxa" w:w="1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R$ 3–5K</w:t>
            </w:r>
          </w:p>
        </w:tc>
        <w:tc>
          <w:tcPr>
            <w:tcW w:type="dxa" w:w="116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🟢</w:t>
            </w:r>
          </w:p>
        </w:tc>
      </w:tr>
      <w:tr>
        <w:tc>
          <w:tcPr>
            <w:tcW w:type="dxa" w:w="8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V4.1</w:t>
            </w:r>
          </w:p>
        </w:tc>
        <w:tc>
          <w:tcPr>
            <w:tcW w:type="dxa" w:w="3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Medição uso provas</w:t>
            </w:r>
          </w:p>
        </w:tc>
        <w:tc>
          <w:tcPr>
            <w:tcW w:type="dxa" w:w="1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Provas</w:t>
            </w:r>
          </w:p>
        </w:tc>
        <w:tc>
          <w:tcPr>
            <w:tcW w:type="dxa" w:w="8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P1</w:t>
            </w:r>
          </w:p>
        </w:tc>
        <w:tc>
          <w:tcPr>
            <w:tcW w:type="dxa" w:w="1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R$ 0</w:t>
            </w:r>
          </w:p>
        </w:tc>
        <w:tc>
          <w:tcPr>
            <w:tcW w:type="dxa" w:w="116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🟢</w:t>
            </w:r>
          </w:p>
        </w:tc>
      </w:tr>
      <w:tr>
        <w:tc>
          <w:tcPr>
            <w:tcW w:type="dxa" w:w="8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E1.1</w:t>
            </w:r>
          </w:p>
        </w:tc>
        <w:tc>
          <w:tcPr>
            <w:tcW w:type="dxa" w:w="3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Briefing padrão</w:t>
            </w:r>
          </w:p>
        </w:tc>
        <w:tc>
          <w:tcPr>
            <w:tcW w:type="dxa" w:w="1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Eficiência</w:t>
            </w:r>
          </w:p>
        </w:tc>
        <w:tc>
          <w:tcPr>
            <w:tcW w:type="dxa" w:w="8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P0</w:t>
            </w:r>
          </w:p>
        </w:tc>
        <w:tc>
          <w:tcPr>
            <w:tcW w:type="dxa" w:w="1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R$ 0</w:t>
            </w:r>
          </w:p>
        </w:tc>
        <w:tc>
          <w:tcPr>
            <w:tcW w:type="dxa" w:w="116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🟢</w:t>
            </w:r>
          </w:p>
        </w:tc>
      </w:tr>
      <w:tr>
        <w:tc>
          <w:tcPr>
            <w:tcW w:type="dxa" w:w="8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E2.1</w:t>
            </w:r>
          </w:p>
        </w:tc>
        <w:tc>
          <w:tcPr>
            <w:tcW w:type="dxa" w:w="3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Redução retrabalho</w:t>
            </w:r>
          </w:p>
        </w:tc>
        <w:tc>
          <w:tcPr>
            <w:tcW w:type="dxa" w:w="1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Eficiência</w:t>
            </w:r>
          </w:p>
        </w:tc>
        <w:tc>
          <w:tcPr>
            <w:tcW w:type="dxa" w:w="8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P1</w:t>
            </w:r>
          </w:p>
        </w:tc>
        <w:tc>
          <w:tcPr>
            <w:tcW w:type="dxa" w:w="1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R$ 0</w:t>
            </w:r>
          </w:p>
        </w:tc>
        <w:tc>
          <w:tcPr>
            <w:tcW w:type="dxa" w:w="116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🟢</w:t>
            </w:r>
          </w:p>
        </w:tc>
      </w:tr>
      <w:tr>
        <w:tc>
          <w:tcPr>
            <w:tcW w:type="dxa" w:w="8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E3.1</w:t>
            </w:r>
          </w:p>
        </w:tc>
        <w:tc>
          <w:tcPr>
            <w:tcW w:type="dxa" w:w="3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Painel métricas</w:t>
            </w:r>
          </w:p>
        </w:tc>
        <w:tc>
          <w:tcPr>
            <w:tcW w:type="dxa" w:w="1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Eficiência</w:t>
            </w:r>
          </w:p>
        </w:tc>
        <w:tc>
          <w:tcPr>
            <w:tcW w:type="dxa" w:w="8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P1</w:t>
            </w:r>
          </w:p>
        </w:tc>
        <w:tc>
          <w:tcPr>
            <w:tcW w:type="dxa" w:w="1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R$ 10–25K</w:t>
            </w:r>
          </w:p>
        </w:tc>
        <w:tc>
          <w:tcPr>
            <w:tcW w:type="dxa" w:w="116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🟡</w:t>
            </w:r>
          </w:p>
        </w:tc>
      </w:tr>
      <w:tr>
        <w:tc>
          <w:tcPr>
            <w:tcW w:type="dxa" w:w="8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E4.1</w:t>
            </w:r>
          </w:p>
        </w:tc>
        <w:tc>
          <w:tcPr>
            <w:tcW w:type="dxa" w:w="3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Contratações +2</w:t>
            </w:r>
          </w:p>
        </w:tc>
        <w:tc>
          <w:tcPr>
            <w:tcW w:type="dxa" w:w="1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Eficiência</w:t>
            </w:r>
          </w:p>
        </w:tc>
        <w:tc>
          <w:tcPr>
            <w:tcW w:type="dxa" w:w="8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P0</w:t>
            </w:r>
          </w:p>
        </w:tc>
        <w:tc>
          <w:tcPr>
            <w:tcW w:type="dxa" w:w="1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R$ 120–180K/a</w:t>
            </w:r>
          </w:p>
        </w:tc>
        <w:tc>
          <w:tcPr>
            <w:tcW w:type="dxa" w:w="116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🟡</w:t>
            </w:r>
          </w:p>
        </w:tc>
      </w:tr>
    </w:tbl>
    <w:p>
      <w:pPr>
        <w:pBdr>
          <w:bottom w:val="single" w:color="2980B9" w:sz="6" w:space="4"/>
        </w:pBdr>
        <w:spacing w:before="360" w:after="160"/>
      </w:pPr>
      <w:r>
        <w:rPr>
          <w:rFonts w:ascii="Calibri Light" w:cs="Calibri Light" w:eastAsia="Calibri Light" w:hAnsi="Calibri Light"/>
          <w:b/>
          <w:bCs/>
          <w:color w:val="2980B9"/>
          <w:sz w:val="30"/>
          <w:szCs w:val="30"/>
        </w:rPr>
        <w:t xml:space="preserve">3.  </w:t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Envelope orçamentário MKT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000"/>
        <w:gridCol w:w="2000"/>
        <w:gridCol w:w="1200"/>
        <w:gridCol w:w="2360"/>
      </w:tblGrid>
      <w:tr>
        <w:tc>
          <w:tcPr>
            <w:tcW w:type="dxa" w:w="2800"/>
            <w:tcBorders>
              <w:top w:val="none" w:sz="0"/>
              <w:left w:val="none" w:sz="0"/>
              <w:bottom w:val="single" w:color="2980B9" w:sz="6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Programa</w:t>
            </w:r>
          </w:p>
        </w:tc>
        <w:tc>
          <w:tcPr>
            <w:tcW w:type="dxa" w:w="1000"/>
            <w:tcBorders>
              <w:top w:val="none" w:sz="0"/>
              <w:left w:val="none" w:sz="0"/>
              <w:bottom w:val="single" w:color="2980B9" w:sz="6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INITs</w:t>
            </w:r>
          </w:p>
        </w:tc>
        <w:tc>
          <w:tcPr>
            <w:tcW w:type="dxa" w:w="2000"/>
            <w:tcBorders>
              <w:top w:val="none" w:sz="0"/>
              <w:left w:val="none" w:sz="0"/>
              <w:bottom w:val="single" w:color="2980B9" w:sz="6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Custo (R$)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2980B9" w:sz="6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% roteiro</w:t>
            </w:r>
          </w:p>
        </w:tc>
        <w:tc>
          <w:tcPr>
            <w:tcW w:type="dxa" w:w="2360"/>
            <w:tcBorders>
              <w:top w:val="none" w:sz="0"/>
              <w:left w:val="none" w:sz="0"/>
              <w:bottom w:val="single" w:color="2980B9" w:sz="6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Nota</w:t>
            </w:r>
          </w:p>
        </w:tc>
      </w:tr>
      <w:tr>
        <w:tc>
          <w:tcPr>
            <w:tcW w:type="dxa" w:w="28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B.2-P1 Geração</w:t>
            </w:r>
          </w:p>
        </w:tc>
        <w:tc>
          <w:tcPr>
            <w:tcW w:type="dxa" w:w="10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4</w:t>
            </w:r>
          </w:p>
        </w:tc>
        <w:tc>
          <w:tcPr>
            <w:tcW w:type="dxa" w:w="20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65–110K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34–36%</w:t>
            </w:r>
          </w:p>
        </w:tc>
        <w:tc>
          <w:tcPr>
            <w:tcW w:type="dxa" w:w="236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Inclui CRM + mídia</w:t>
            </w:r>
          </w:p>
        </w:tc>
      </w:tr>
      <w:tr>
        <w:tc>
          <w:tcPr>
            <w:tcW w:type="dxa" w:w="28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B.2-P2 Presença</w:t>
            </w:r>
          </w:p>
        </w:tc>
        <w:tc>
          <w:tcPr>
            <w:tcW w:type="dxa" w:w="10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4</w:t>
            </w:r>
          </w:p>
        </w:tc>
        <w:tc>
          <w:tcPr>
            <w:tcW w:type="dxa" w:w="20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100–135K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43–44%</w:t>
            </w:r>
          </w:p>
        </w:tc>
        <w:tc>
          <w:tcPr>
            <w:tcW w:type="dxa" w:w="236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Inclui campanha 10 anos</w:t>
            </w:r>
          </w:p>
        </w:tc>
      </w:tr>
      <w:tr>
        <w:tc>
          <w:tcPr>
            <w:tcW w:type="dxa" w:w="28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B.2-P3 Provas</w:t>
            </w:r>
          </w:p>
        </w:tc>
        <w:tc>
          <w:tcPr>
            <w:tcW w:type="dxa" w:w="10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4</w:t>
            </w:r>
          </w:p>
        </w:tc>
        <w:tc>
          <w:tcPr>
            <w:tcW w:type="dxa" w:w="20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18–35K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11–12%</w:t>
            </w:r>
          </w:p>
        </w:tc>
        <w:tc>
          <w:tcPr>
            <w:tcW w:type="dxa" w:w="236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Design + produção</w:t>
            </w:r>
          </w:p>
        </w:tc>
      </w:tr>
      <w:tr>
        <w:tc>
          <w:tcPr>
            <w:tcW w:type="dxa" w:w="28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B.2-P4 Eficiência</w:t>
            </w:r>
          </w:p>
        </w:tc>
        <w:tc>
          <w:tcPr>
            <w:tcW w:type="dxa" w:w="10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4</w:t>
            </w:r>
          </w:p>
        </w:tc>
        <w:tc>
          <w:tcPr>
            <w:tcW w:type="dxa" w:w="20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10–25K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6–8%</w:t>
            </w:r>
          </w:p>
        </w:tc>
        <w:tc>
          <w:tcPr>
            <w:tcW w:type="dxa" w:w="236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Sem contratações</w:t>
            </w:r>
          </w:p>
        </w:tc>
      </w:tr>
      <w:tr>
        <w:tc>
          <w:tcPr>
            <w:tcW w:type="dxa" w:w="28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TOTAL ROTEIRO</w:t>
            </w:r>
          </w:p>
        </w:tc>
        <w:tc>
          <w:tcPr>
            <w:tcW w:type="dxa" w:w="10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16</w:t>
            </w:r>
          </w:p>
        </w:tc>
        <w:tc>
          <w:tcPr>
            <w:tcW w:type="dxa" w:w="20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193–305K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100%</w:t>
            </w:r>
          </w:p>
        </w:tc>
        <w:tc>
          <w:tcPr>
            <w:tcW w:type="dxa" w:w="236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Sem contratações</w:t>
            </w:r>
          </w:p>
        </w:tc>
      </w:tr>
    </w:tbl>
    <w:p>
      <w:pPr>
        <w:spacing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560"/>
      </w:tblGrid>
      <w:tr>
        <w:tc>
          <w:tcPr>
            <w:tcW w:type="dxa" w:w="4800"/>
            <w:tcBorders>
              <w:top w:val="none" w:sz="0"/>
              <w:left w:val="none" w:sz="0"/>
              <w:bottom w:val="single" w:color="2980B9" w:sz="6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Composição envelope total MKT 2026</w:t>
            </w:r>
          </w:p>
        </w:tc>
        <w:tc>
          <w:tcPr>
            <w:tcW w:type="dxa" w:w="4560"/>
            <w:tcBorders>
              <w:top w:val="none" w:sz="0"/>
              <w:left w:val="none" w:sz="0"/>
              <w:bottom w:val="single" w:color="2980B9" w:sz="6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Faixa (R$)</w:t>
            </w:r>
          </w:p>
        </w:tc>
      </w:tr>
      <w:tr>
        <w:tc>
          <w:tcPr>
            <w:tcW w:type="dxa" w:w="48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Feiras de saúde (participação e presença)</w:t>
            </w:r>
          </w:p>
        </w:tc>
        <w:tc>
          <w:tcPr>
            <w:tcW w:type="dxa" w:w="456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R$ 500.000 (aprovado)</w:t>
            </w:r>
          </w:p>
        </w:tc>
      </w:tr>
      <w:tr>
        <w:tc>
          <w:tcPr>
            <w:tcW w:type="dxa" w:w="48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Campanha 10 anos (dentro de B.2-P2)</w:t>
            </w:r>
          </w:p>
        </w:tc>
        <w:tc>
          <w:tcPr>
            <w:tcW w:type="dxa" w:w="456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R$ 80–100K (teto R$100K)</w:t>
            </w:r>
          </w:p>
        </w:tc>
      </w:tr>
      <w:tr>
        <w:tc>
          <w:tcPr>
            <w:tcW w:type="dxa" w:w="48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Produção, mídia e campanhas (B.2-P1)</w:t>
            </w:r>
          </w:p>
        </w:tc>
        <w:tc>
          <w:tcPr>
            <w:tcW w:type="dxa" w:w="456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R$ 65–110K</w:t>
            </w:r>
          </w:p>
        </w:tc>
      </w:tr>
      <w:tr>
        <w:tc>
          <w:tcPr>
            <w:tcW w:type="dxa" w:w="48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Provas e materiais (B.2-P3)</w:t>
            </w:r>
          </w:p>
        </w:tc>
        <w:tc>
          <w:tcPr>
            <w:tcW w:type="dxa" w:w="456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R$ 18–35K</w:t>
            </w:r>
          </w:p>
        </w:tc>
      </w:tr>
      <w:tr>
        <w:tc>
          <w:tcPr>
            <w:tcW w:type="dxa" w:w="48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Eficiência e painel (B.2-P4)</w:t>
            </w:r>
          </w:p>
        </w:tc>
        <w:tc>
          <w:tcPr>
            <w:tcW w:type="dxa" w:w="456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R$ 10–25K</w:t>
            </w:r>
          </w:p>
        </w:tc>
      </w:tr>
      <w:tr>
        <w:tc>
          <w:tcPr>
            <w:tcW w:type="dxa" w:w="48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Contratações +2 (E4.1)</w:t>
            </w:r>
          </w:p>
        </w:tc>
        <w:tc>
          <w:tcPr>
            <w:tcW w:type="dxa" w:w="456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R$ 120–180K/ano</w:t>
            </w:r>
          </w:p>
        </w:tc>
      </w:tr>
      <w:tr>
        <w:tc>
          <w:tcPr>
            <w:tcW w:type="dxa" w:w="48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TOTAL MKT 2026</w:t>
            </w:r>
          </w:p>
        </w:tc>
        <w:tc>
          <w:tcPr>
            <w:tcW w:type="dxa" w:w="456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R$ 793–950K</w:t>
            </w:r>
          </w:p>
        </w:tc>
      </w:tr>
    </w:tbl>
    <w:p>
      <w:pPr>
        <w:pBdr>
          <w:left w:val="single" w:color="C0392B" w:sz="12" w:space="8"/>
        </w:pBdr>
        <w:spacing w:before="100" w:after="100"/>
        <w:ind w:left="200"/>
      </w:pPr>
      <w:r>
        <w:rPr>
          <w:rFonts w:ascii="Calibri" w:cs="Calibri" w:eastAsia="Calibri" w:hAnsi="Calibri"/>
          <w:i/>
          <w:iCs/>
          <w:color w:val="64748B"/>
          <w:sz w:val="19"/>
          <w:szCs w:val="19"/>
        </w:rPr>
        <w:t xml:space="preserve">Safety floor: se margem cair abaixo de 20%, P2 pausadas, P1 revisadas, P0 continuam. Feiras podem ser canceladas com gatilho documentado.</w:t>
      </w:r>
    </w:p>
    <w:p>
      <w:pPr>
        <w:pBdr>
          <w:bottom w:val="single" w:color="2980B9" w:sz="6" w:space="4"/>
        </w:pBdr>
        <w:spacing w:before="360" w:after="160"/>
      </w:pPr>
      <w:r>
        <w:rPr>
          <w:rFonts w:ascii="Calibri Light" w:cs="Calibri Light" w:eastAsia="Calibri Light" w:hAnsi="Calibri Light"/>
          <w:b/>
          <w:bCs/>
          <w:color w:val="2980B9"/>
          <w:sz w:val="30"/>
          <w:szCs w:val="30"/>
        </w:rPr>
        <w:t xml:space="preserve">4.  </w:t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B.2-P1 Geração de Negócios — 4 iniciativas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2E86A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B.2-P1 | P0: G1.1, G2.1, G4.1 · P1: G3.1 | R$ 65–110K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2E86A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G1.1 — Critérios de lead qualificado + SLA [IMPLANTAÇÃO · P0]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Rastreabilidade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OKR-MKT-O1 · KR-MKT-01 · P2/P4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Sponsor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Direção Executiva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Dono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Coord. MKT (Geração)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Partners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Comercial/Direção, CS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Problema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Sem critério, MKT entrega volume sem qualidade — desperdício de capacidade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Hipótese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SLA com critérios alinha expectativas e cria métrica comum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Escopo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Perfil mínimo, exemplos, regras passagem, SLA. Não entra: CRM (G2.1)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Entregáveis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Documento de critérios · SLA formal · Relatório mensal aceite/devolução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Prazo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Início: Mar/2026 · Fim: Abr/2026 (rotina permanente)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Capacidade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MKT: 8h setup + 2h/mês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E8C6B"/>
                <w:sz w:val="18"/>
                <w:szCs w:val="18"/>
              </w:rPr>
              <w:t xml:space="preserve">💰 Custo estimado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R$ 0 (processo interno)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Riscos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Critério rígido → revisar trimestral. Comercial ausente → Direção valida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Evidências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Documento versionado · Registro SLA · Relatório mensal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Critério encerramento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Documento publicado + SLA em uso + taxa aceite medida 30 dias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Semáforo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🟢 Verde</w:t>
            </w:r>
          </w:p>
        </w:tc>
      </w:tr>
    </w:tbl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2E86A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G2.1 — Funil de vendas com CRM [IMPLANTAÇÃO · P0]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Rastreabilidade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OKR-MKT-O1 · KR-MKT-02/04 · P2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Sponsor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Direção Executiva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Dono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Coord. MKT (Geração)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Partners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Produto/Dados (CRM), Comercial/Direção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Problema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Sem funil, pipeline é invisível. CRM sem disciplina = sem previsibilidade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Hipótese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Funil + CRM disciplinado cria visibilidade de pipeline e base para previsão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Entregáveis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Funil ≥4 etapas no CRM · Painel de funil · Treinamento equipe · Relatório semanal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Prazo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Início: Mar/2026 · Fim: Mai/2026 (rotina permanente)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Capacidade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MKT: 20h setup + 4h/sem · Produto/Dados: 10h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E8C6B"/>
                <w:sz w:val="18"/>
                <w:szCs w:val="18"/>
              </w:rPr>
              <w:t xml:space="preserve">💰 Custo estimado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R$ 15–30K (licença CRM + setup + treino)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Riscos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CRM no discurso → rotina semanal + higiene obrigatória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Evidências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CRM configurado · Painel funil · Registros WBR com dados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Critério encerramento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Funil ativo ≥90% registros preenchidos 30 dias + WBR usando dados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Semáforo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🟢 Verde</w:t>
            </w:r>
          </w:p>
        </w:tc>
      </w:tr>
    </w:tbl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2E86A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G3.1 — Calendário de campanhas com meta [ROTINA · P1]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Rastreabilidade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OKR-MKT-O1 · KR-MKT-03/05 · P2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Sponsor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Direção Executiva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Dono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Coord. MKT (Conteúdo)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Partners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CS (conteúdo), Produto/Dados (evidências)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Problema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Campanhas sem planejamento dispersam investimento sem resultado rastreado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Hipótese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Calendário com tese e meta permite medir CPL por segmento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Entregáveis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Calendário semestral · ≥4 campanhas H2 com relatório · CPL medido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Prazo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Calendário H2 publicado até Jun/2026 — rotina permanente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Capacidade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MKT: 12h/campanha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E8C6B"/>
                <w:sz w:val="18"/>
                <w:szCs w:val="18"/>
              </w:rPr>
              <w:t xml:space="preserve">💰 Custo estimado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R$ 50–80K/ano (mídia + produção + ferramentas)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Riscos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Volume sem qualidade → CPL como métrica principal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Evidências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Calendário · Relatórios por campanha · Painel CPL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Critério encerramento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≥4 campanhas H2 com CPL medido e relatório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Semáforo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🟢 Verde</w:t>
            </w:r>
          </w:p>
        </w:tc>
      </w:tr>
    </w:tbl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2E86A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G4.1 — Rotina semanal de funil [ROTINA · P0]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Rastreabilidade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OKR-MKT-O1/O4 · KR-MKT-02/04 · P2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Sponsor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Direção Executiva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Dono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Coord. MKT (Geração)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Problema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Funil sem cadência degrada — leads envelhecem, gargalos não identificados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Entregáveis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Pauta fixa semanal · Registro decisões/ações · Aderência medida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Prazo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Início: Mar/2026 — rotina permanente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Capacidade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MKT + Direção: 45 min/semana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E8C6B"/>
                <w:sz w:val="18"/>
                <w:szCs w:val="18"/>
              </w:rPr>
              <w:t xml:space="preserve">💰 Custo estimado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R$ 0 (processo interno)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Evidências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Registros WBR com ações · Dados funil/semana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Critério encerramento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100% semanas com ritual executado 60 dias consecutivos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Semáforo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🟢 Verde</w:t>
            </w:r>
          </w:p>
        </w:tc>
      </w:tr>
    </w:tbl>
    <w:p>
      <w:pPr>
        <w:spacing w:before="60"/>
      </w:pPr>
    </w:p>
    <w:p>
      <w:pPr>
        <w:pBdr>
          <w:bottom w:val="single" w:color="2980B9" w:sz="6" w:space="4"/>
        </w:pBdr>
        <w:spacing w:before="360" w:after="160"/>
      </w:pPr>
      <w:r>
        <w:rPr>
          <w:rFonts w:ascii="Calibri Light" w:cs="Calibri Light" w:eastAsia="Calibri Light" w:hAnsi="Calibri Light"/>
          <w:b/>
          <w:bCs/>
          <w:color w:val="2980B9"/>
          <w:sz w:val="30"/>
          <w:szCs w:val="30"/>
        </w:rPr>
        <w:t xml:space="preserve">5.  </w:t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B.2-P2 Presença Nacional — 4 iniciativas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A23B7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B.2-P2 | P0: P1.1, P2.1 · P1: P3.1, P4.1 | R$ 100–135K + R$ 500K feiras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A23B7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P1.1 — Calendário anual de feiras [IMPLANTAÇÃO · P0]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Rastreabilidade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OKR-MKT-O2 · KR-MKT-06 · P2/P1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Sponsor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Direção Executiva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Dono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Coord. MKT (Eventos)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Problema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Feira sem tese é custo. Participação pontual desperdiça R$500K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Entregáveis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Calendário ≥4 feiras · Cada feira com tese+meta+orçamento · Aprovação Direção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Prazo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Início: Mar/2026 · Fim: Abr/2026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Capacidade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MKT: 16h total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E8C6B"/>
                <w:sz w:val="18"/>
                <w:szCs w:val="18"/>
              </w:rPr>
              <w:t xml:space="preserve">💰 Custo estimado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R$ 0 (planejamento) — execução: R$ 500K dedicado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Evidências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Calendário publicado · Registro aprovação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Critério encerramento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Calendário publicado e aprovado com ≥4 feiras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Semáforo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🟢 Verde</w:t>
            </w:r>
          </w:p>
        </w:tc>
      </w:tr>
    </w:tbl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A23B7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P2.1 — Relatório pós-evento obrigatório [ROTINA · P0]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Rastreabilidade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OKR-MKT-O2 · KR-MKT-07 · P2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Sponsor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Direção Executiva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Dono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Coord. MKT (Eventos)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Problema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Evento sem pós-evento = imagem sem retorno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Entregáveis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Template pós-evento · SLA 10 dias · Relatório com pipeline por evento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Prazo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Após 1ª feira — rotina permanente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Capacidade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MKT: 6h/evento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E8C6B"/>
                <w:sz w:val="18"/>
                <w:szCs w:val="18"/>
              </w:rPr>
              <w:t xml:space="preserve">💰 Custo estimado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R$ 0 (processo)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Riscos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Relatório formalidade → exigir dados pipeline. Sem relatório = falha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Evidências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Relatórios arquivados com pipeline · SLA medido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Critério encerramento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100% eventos com relatório no SLA por 2 eventos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Semáforo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🟢 Verde</w:t>
            </w:r>
          </w:p>
        </w:tc>
      </w:tr>
    </w:tbl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A23B7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P3.1 — Agenda de autoridade técnica [ROTINA · P1]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Rastreabilidade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OKR-MKT-O2 · KR-MKT-08/10 · P2/P1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Sponsor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Direção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Dono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Coord. MKT (Conteúdo)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Partners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Produto/Dados (técnico), P&amp;D (científico)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Entregáveis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Calendário semestral · ≥6 ações/ano · Público + follow-up registrados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Prazo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Abr/2026 — permanente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Capacidade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MKT: 8h/ação · Produto: 4h/ação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E8C6B"/>
                <w:sz w:val="18"/>
                <w:szCs w:val="18"/>
              </w:rPr>
              <w:t xml:space="preserve">💰 Custo estimado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R$ 20–35K/ano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Evidências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Calendário · Registros com público/follow-up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Critério encerramento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≥6 ações executadas e documentadas no ano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Semáforo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🟢 Verde</w:t>
            </w:r>
          </w:p>
        </w:tc>
      </w:tr>
    </w:tbl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A23B7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P4.1 — Campanha 10 anos Aero [PROJETO · P1]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Rastreabilidade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OKR-MKT-O2 · KR-MKT-09 · P2/P1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Sponsor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Direção Executiva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Dono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Coord. MKT (Marca)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Partners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RH (marca empregadora), todas as áreas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Problema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10 anos é oportunidade que, se não organizada, vira ação dispersa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Entregáveis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Conceito aprovado · Peças produzidas · Ações internas/externas · Relatório impacto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Prazo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Abr/2026 – Set/2026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Capacidade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MKT: 40h · Fornecedores: produção criativa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E8C6B"/>
                <w:sz w:val="18"/>
                <w:szCs w:val="18"/>
              </w:rPr>
              <w:t xml:space="preserve">💰 Custo estimado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R$ 80–100K (teto aprovado: R$ 100K)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Riscos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Estourar teto → aprovar escopo por etapa. Só interno → definir metas externas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Evidências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Conceito aprovado · Peças publicadas · Relatório impacto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Critério encerramento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Campanha executada dentro do teto + relatório publicado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Semáforo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🟢 Verde</w:t>
            </w:r>
          </w:p>
        </w:tc>
      </w:tr>
    </w:tbl>
    <w:p>
      <w:pPr>
        <w:spacing w:before="60"/>
      </w:pPr>
    </w:p>
    <w:p>
      <w:pPr>
        <w:pBdr>
          <w:bottom w:val="single" w:color="2980B9" w:sz="6" w:space="4"/>
        </w:pBdr>
        <w:spacing w:before="360" w:after="160"/>
      </w:pPr>
      <w:r>
        <w:rPr>
          <w:rFonts w:ascii="Calibri Light" w:cs="Calibri Light" w:eastAsia="Calibri Light" w:hAnsi="Calibri Light"/>
          <w:b/>
          <w:bCs/>
          <w:color w:val="2980B9"/>
          <w:sz w:val="30"/>
          <w:szCs w:val="30"/>
        </w:rPr>
        <w:t xml:space="preserve">6.  </w:t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B.2-P3 Provas de Valor — 4 iniciativas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18F0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B.2-P3 | P0: V1.1, V2.1 · P1: V3.1, V4.1 | R$ 18–35K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18F01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V1.1 — Biblioteca de provas por decisor [IMPLANTAÇÃO · P0]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Rastreabilidade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OKR-MKT-O3 · KR-MKT-11 · P2/P4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Sponsor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Direção Executiva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Dono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Coord. MKT (Conteúdo)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Partners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Produto/Dados, CS, Operação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Problema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Sem prova estruturada, cada reunião reinventa argumento — escala impossível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Escopo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5 perfis (Secretário, Vigilância, Compras, Jurídico, Operação), 1 kit/perfil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Entregáveis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Índice da biblioteca · ≥5 kits publicados · Repositório acessível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Prazo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Mar/2026 – Jun/2026 (evolução permanente)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Capacidade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MKT: 16h/kit · Produto: 4h/kit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E8C6B"/>
                <w:sz w:val="18"/>
                <w:szCs w:val="18"/>
              </w:rPr>
              <w:t xml:space="preserve">💰 Custo estimado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R$ 10–20K (design + produção)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Riscos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Não usada → uso vira KPI (V4.1). Fraca → validação Produto/Dados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Evidências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Índice versionado · Kits com link · Feedback CS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Critério encerramento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≥5 kits publicados + 1º ciclo uso registrado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Semáforo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🟢 Verde</w:t>
            </w:r>
          </w:p>
        </w:tc>
      </w:tr>
    </w:tbl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18F01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V2.1 — Kits destrave institucional CS [IMPLANTAÇÃO · P0]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Rastreabilidade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OKR-MKT-O3 · KR-MKT-12 · P2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Sponsor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Direção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Dono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Coord. MKT (Conteúdo)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Partners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CS (co-criação e teste)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Problema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CS precisa material pronto — dependência ad hoc trava execução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Entregáveis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≥3 kits ativos e testados em campo · Registro adoção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Prazo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Abr/2026 – Mai/2026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Capacidade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MKT: 10h/kit · CS: 4h/kit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E8C6B"/>
                <w:sz w:val="18"/>
                <w:szCs w:val="18"/>
              </w:rPr>
              <w:t xml:space="preserve">💰 Custo estimado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R$ 5–10K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Evidências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Kits publicados · Registro uso em reuniões · Feedback CS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Critério encerramento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≥3 kits + CS usando com registro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Semáforo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🟢 Verde</w:t>
            </w:r>
          </w:p>
        </w:tc>
      </w:tr>
    </w:tbl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18F01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V3.1 — Templates prova padronizados [IMPLANTAÇÃO · P1]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Rastreabilidade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OKR-MKT-O3 · KR-MKT-13 · P2/P4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Dono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Coord. MKT (Conteúdo)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Entregáveis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4 templates: case, ROI, comparativo, apresentação · Guia preenchimento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Prazo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Mar–Abr/2026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Capacidade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MKT: 6h/template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E8C6B"/>
                <w:sz w:val="18"/>
                <w:szCs w:val="18"/>
              </w:rPr>
              <w:t xml:space="preserve">💰 Custo estimado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R$ 3–5K (design)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Evidências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Templates publicados · Guia acessível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Critério encerramento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4 templates publicados + 1º uso registrado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Semáforo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🟢 Verde</w:t>
            </w:r>
          </w:p>
        </w:tc>
      </w:tr>
    </w:tbl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18F01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V4.1 — Medição uso efetivo [ROTINA · P1]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Rastreabilidade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OKR-MKT-O3 · KR-MKT-14 · P2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Dono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Coord. MKT (Conteúdo)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Partners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CS, Comercial (registro uso)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Problema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Biblioteca sem uso é custo, não ativo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Entregáveis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Registro simples por reunião · Consolidação mensal · Revisão quinzenal CS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Prazo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Jun/2026 (após biblioteca) — permanente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Capacidade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MKT: 2h/mês · CS: 5 min/reunião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E8C6B"/>
                <w:sz w:val="18"/>
                <w:szCs w:val="18"/>
              </w:rPr>
              <w:t xml:space="preserve">💰 Custo estimado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R$ 0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Evidências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Registro ativo · Consolidação mensal · Feedback por ciclo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Critério encerramento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≥70% reuniões com prova H2 + feedback gerando melhorias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Semáforo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🟢 Verde</w:t>
            </w:r>
          </w:p>
        </w:tc>
      </w:tr>
    </w:tbl>
    <w:p>
      <w:pPr>
        <w:spacing w:before="60"/>
      </w:pPr>
    </w:p>
    <w:p>
      <w:pPr>
        <w:pBdr>
          <w:bottom w:val="single" w:color="2980B9" w:sz="6" w:space="4"/>
        </w:pBdr>
        <w:spacing w:before="360" w:after="160"/>
      </w:pPr>
      <w:r>
        <w:rPr>
          <w:rFonts w:ascii="Calibri Light" w:cs="Calibri Light" w:eastAsia="Calibri Light" w:hAnsi="Calibri Light"/>
          <w:b/>
          <w:bCs/>
          <w:color w:val="2980B9"/>
          <w:sz w:val="30"/>
          <w:szCs w:val="30"/>
        </w:rPr>
        <w:t xml:space="preserve">7.  </w:t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B.2-P4 Eficiência Operacional — 4 iniciativas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3B7A5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B.2-P4 | P0: E1.1, E4.1 · P1: E2.1, E3.1 | R$ 10–25K + R$ 120–180K/ano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3B7A5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E1.1 — Briefing padrão e fluxo [IMPLANTAÇÃO · P0]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Rastreabilidade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OKR-MKT-O4 · KR-MKT-16 · P3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Dono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Coord. MKT (Operações MKT)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Problema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Briefing vago gera retrabalho. Fluxo indefinido gera gargalo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Entregáveis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Template briefing · Fluxo com SLA · Medição aderência mensal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Prazo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Mar–Abr/2026 (rotina permanente)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Capacidade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MKT: 8h setup + 1h/sem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E8C6B"/>
                <w:sz w:val="18"/>
                <w:szCs w:val="18"/>
              </w:rPr>
              <w:t xml:space="preserve">💰 Custo estimado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R$ 0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Evidências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Template publicado · Fluxo documentado · % demandas com padrão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Critério encerramento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≥80% demandas usando briefing 30 dias consecutivos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Semáforo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🟢 Verde</w:t>
            </w:r>
          </w:p>
        </w:tc>
      </w:tr>
    </w:tbl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3B7A5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E2.1 — Medição e redução de retrabalho [IMPLANTAÇÃO · P1]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Rastreabilidade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OKR-MKT-O4 · KR-MKT-17 · P3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Dono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Coord. MKT (Operações MKT)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Problema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Sem métrica, retrabalho é invisível — custo oculto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Entregáveis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Índice retrabalho definido · Baseline Q1 · Meta −20% Dez/2026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Prazo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Mar/2026 baseline – Dez/2026 meta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Capacidade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MKT: 4h/mês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E8C6B"/>
                <w:sz w:val="18"/>
                <w:szCs w:val="18"/>
              </w:rPr>
              <w:t xml:space="preserve">💰 Custo estimado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R$ 0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Evidências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Índice mensal · Registro causas raiz · Evolução MBR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Critério encerramento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Baseline + redução ≥20% sustentada 2 meses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Semáforo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🟢 Verde</w:t>
            </w:r>
          </w:p>
        </w:tc>
      </w:tr>
    </w:tbl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3B7A5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E3.1 — Painel mensal de métricas [IMPLANTAÇÃO · P1]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Rastreabilidade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OKR-MKT-O4 · KR-MKT-18 · P3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Dono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Coord. MKT (Operações)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Partners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Produto/Dados (infra), Financeiro (custos)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Problema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Sem painel, MKT apresenta dados dispersos — decisões sem base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Entregáveis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Painel ativo · SLA D+5 · Uso no MBR com ações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Prazo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Abr–Mai/2026 (rotina permanente)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Capacidade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MKT: 20h setup + 4h/mês · Produto: 10h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E8C6B"/>
                <w:sz w:val="18"/>
                <w:szCs w:val="18"/>
              </w:rPr>
              <w:t xml:space="preserve">💰 Custo estimado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R$ 10–25K (ferramentas BI + setup)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Riscos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Painel bonito sem decisão → ações executadas como KPI. Dependência Produto → SLA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Evidências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Painel publicado · Registros MBR · SLA medido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Critério encerramento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Painel ativo Mai/2026 + SLA ≥90% + ações em 100% MBRs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Semáforo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🟡 Amarelo (dependência Produto/Dados)</w:t>
            </w:r>
          </w:p>
        </w:tc>
      </w:tr>
    </w:tbl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3B7A5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E4.1 — Contratações +2 Marketing [PROJETO · P0]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Rastreabilidade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OKR-MKT-O4 · KR-MKT-20 · P5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Sponsor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Direção Executiva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Dono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Cláudio Ribeiro + RH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Partners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RH (seletivo), Financeiro (orçamento)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Problema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Equipe não sustenta escopo 2026 (feiras, funil, biblioteca, produção)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Entregáveis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JDs publicados · Processo seletivo · 2 contratações · Onboarding 45 dias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Prazo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1ª: Abr/2026 · 2ª: Mai/2026 · Onboarding: +45 dias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Capacidade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Direção + RH: 20h total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E8C6B"/>
                <w:sz w:val="18"/>
                <w:szCs w:val="18"/>
              </w:rPr>
              <w:t xml:space="preserve">💰 Custo estimado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R$ 120–180K/ano (R$5–7,5K/mês cada + encargos)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Riscos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Processo longo → hunting paralelo. Perfil errado → definir antes. Onboarding fraco → checklist 45d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Evidências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JDs publicados · Contratos assinados · Checklist onboarding · Alocação com meta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Critério encerramento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2 contratações até Q2 + onboarding + alocação em programa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Semáforo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🟡 Amarelo (processo não iniciado)</w:t>
            </w:r>
          </w:p>
        </w:tc>
      </w:tr>
    </w:tbl>
    <w:p>
      <w:pPr>
        <w:spacing w:before="60"/>
      </w:pPr>
    </w:p>
    <w:p>
      <w:pPr>
        <w:pBdr>
          <w:bottom w:val="single" w:color="2980B9" w:sz="6" w:space="4"/>
        </w:pBdr>
        <w:spacing w:before="360" w:after="160"/>
      </w:pPr>
      <w:r>
        <w:rPr>
          <w:rFonts w:ascii="Calibri Light" w:cs="Calibri Light" w:eastAsia="Calibri Light" w:hAnsi="Calibri Light"/>
          <w:b/>
          <w:bCs/>
          <w:color w:val="2980B9"/>
          <w:sz w:val="30"/>
          <w:szCs w:val="30"/>
        </w:rPr>
        <w:t xml:space="preserve">8.  </w:t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Painel WBR — semáforos e leitura rápida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800"/>
        <w:gridCol w:w="800"/>
        <w:gridCol w:w="2800"/>
        <w:gridCol w:w="1760"/>
      </w:tblGrid>
      <w:tr>
        <w:tc>
          <w:tcPr>
            <w:tcW w:type="dxa" w:w="800"/>
            <w:tcBorders>
              <w:top w:val="none" w:sz="0"/>
              <w:left w:val="none" w:sz="0"/>
              <w:bottom w:val="single" w:color="2980B9" w:sz="6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INIT</w:t>
            </w:r>
          </w:p>
        </w:tc>
        <w:tc>
          <w:tcPr>
            <w:tcW w:type="dxa" w:w="2400"/>
            <w:tcBorders>
              <w:top w:val="none" w:sz="0"/>
              <w:left w:val="none" w:sz="0"/>
              <w:bottom w:val="single" w:color="2980B9" w:sz="6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Título</w:t>
            </w:r>
          </w:p>
        </w:tc>
        <w:tc>
          <w:tcPr>
            <w:tcW w:type="dxa" w:w="800"/>
            <w:tcBorders>
              <w:top w:val="none" w:sz="0"/>
              <w:left w:val="none" w:sz="0"/>
              <w:bottom w:val="single" w:color="2980B9" w:sz="6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Prio.</w:t>
            </w:r>
          </w:p>
        </w:tc>
        <w:tc>
          <w:tcPr>
            <w:tcW w:type="dxa" w:w="800"/>
            <w:tcBorders>
              <w:top w:val="none" w:sz="0"/>
              <w:left w:val="none" w:sz="0"/>
              <w:bottom w:val="single" w:color="2980B9" w:sz="6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800"/>
            <w:tcBorders>
              <w:top w:val="none" w:sz="0"/>
              <w:left w:val="none" w:sz="0"/>
              <w:bottom w:val="single" w:color="2980B9" w:sz="6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Próxima ação</w:t>
            </w:r>
          </w:p>
        </w:tc>
        <w:tc>
          <w:tcPr>
            <w:tcW w:type="dxa" w:w="1760"/>
            <w:tcBorders>
              <w:top w:val="none" w:sz="0"/>
              <w:left w:val="none" w:sz="0"/>
              <w:bottom w:val="single" w:color="2980B9" w:sz="6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</w:tr>
      <w:tr>
        <w:tc>
          <w:tcPr>
            <w:tcW w:type="dxa" w:w="8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G1.1</w:t>
            </w:r>
          </w:p>
        </w:tc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Critérios lead + SLA</w:t>
            </w:r>
          </w:p>
        </w:tc>
        <w:tc>
          <w:tcPr>
            <w:tcW w:type="dxa" w:w="8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P0</w:t>
            </w:r>
          </w:p>
        </w:tc>
        <w:tc>
          <w:tcPr>
            <w:tcW w:type="dxa" w:w="8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🟢</w:t>
            </w:r>
          </w:p>
        </w:tc>
        <w:tc>
          <w:tcPr>
            <w:tcW w:type="dxa" w:w="28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Definir perfil com Direção</w:t>
            </w:r>
          </w:p>
        </w:tc>
        <w:tc>
          <w:tcPr>
            <w:tcW w:type="dxa" w:w="176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Coord. MKT</w:t>
            </w:r>
          </w:p>
        </w:tc>
      </w:tr>
      <w:tr>
        <w:tc>
          <w:tcPr>
            <w:tcW w:type="dxa" w:w="8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G2.1</w:t>
            </w:r>
          </w:p>
        </w:tc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Funil CRM</w:t>
            </w:r>
          </w:p>
        </w:tc>
        <w:tc>
          <w:tcPr>
            <w:tcW w:type="dxa" w:w="8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P0</w:t>
            </w:r>
          </w:p>
        </w:tc>
        <w:tc>
          <w:tcPr>
            <w:tcW w:type="dxa" w:w="8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🟢</w:t>
            </w:r>
          </w:p>
        </w:tc>
        <w:tc>
          <w:tcPr>
            <w:tcW w:type="dxa" w:w="28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Configurar etapas no CRM</w:t>
            </w:r>
          </w:p>
        </w:tc>
        <w:tc>
          <w:tcPr>
            <w:tcW w:type="dxa" w:w="176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Coord. MKT</w:t>
            </w:r>
          </w:p>
        </w:tc>
      </w:tr>
      <w:tr>
        <w:tc>
          <w:tcPr>
            <w:tcW w:type="dxa" w:w="8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G3.1</w:t>
            </w:r>
          </w:p>
        </w:tc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Calendário campanhas</w:t>
            </w:r>
          </w:p>
        </w:tc>
        <w:tc>
          <w:tcPr>
            <w:tcW w:type="dxa" w:w="8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P1</w:t>
            </w:r>
          </w:p>
        </w:tc>
        <w:tc>
          <w:tcPr>
            <w:tcW w:type="dxa" w:w="8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🟢</w:t>
            </w:r>
          </w:p>
        </w:tc>
        <w:tc>
          <w:tcPr>
            <w:tcW w:type="dxa" w:w="28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Mapear segmentos</w:t>
            </w:r>
          </w:p>
        </w:tc>
        <w:tc>
          <w:tcPr>
            <w:tcW w:type="dxa" w:w="176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Coord. MKT</w:t>
            </w:r>
          </w:p>
        </w:tc>
      </w:tr>
      <w:tr>
        <w:tc>
          <w:tcPr>
            <w:tcW w:type="dxa" w:w="8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G4.1</w:t>
            </w:r>
          </w:p>
        </w:tc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Rotina semanal funil</w:t>
            </w:r>
          </w:p>
        </w:tc>
        <w:tc>
          <w:tcPr>
            <w:tcW w:type="dxa" w:w="8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P0</w:t>
            </w:r>
          </w:p>
        </w:tc>
        <w:tc>
          <w:tcPr>
            <w:tcW w:type="dxa" w:w="8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🟢</w:t>
            </w:r>
          </w:p>
        </w:tc>
        <w:tc>
          <w:tcPr>
            <w:tcW w:type="dxa" w:w="28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Definir pauta e iniciar</w:t>
            </w:r>
          </w:p>
        </w:tc>
        <w:tc>
          <w:tcPr>
            <w:tcW w:type="dxa" w:w="176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Coord. MKT</w:t>
            </w:r>
          </w:p>
        </w:tc>
      </w:tr>
      <w:tr>
        <w:tc>
          <w:tcPr>
            <w:tcW w:type="dxa" w:w="8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P1.1</w:t>
            </w:r>
          </w:p>
        </w:tc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Calendário feiras</w:t>
            </w:r>
          </w:p>
        </w:tc>
        <w:tc>
          <w:tcPr>
            <w:tcW w:type="dxa" w:w="8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P0</w:t>
            </w:r>
          </w:p>
        </w:tc>
        <w:tc>
          <w:tcPr>
            <w:tcW w:type="dxa" w:w="8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🟢</w:t>
            </w:r>
          </w:p>
        </w:tc>
        <w:tc>
          <w:tcPr>
            <w:tcW w:type="dxa" w:w="28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Mapear feiras saúde 2026</w:t>
            </w:r>
          </w:p>
        </w:tc>
        <w:tc>
          <w:tcPr>
            <w:tcW w:type="dxa" w:w="176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Coord. MKT</w:t>
            </w:r>
          </w:p>
        </w:tc>
      </w:tr>
      <w:tr>
        <w:tc>
          <w:tcPr>
            <w:tcW w:type="dxa" w:w="8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P2.1</w:t>
            </w:r>
          </w:p>
        </w:tc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Pós-evento</w:t>
            </w:r>
          </w:p>
        </w:tc>
        <w:tc>
          <w:tcPr>
            <w:tcW w:type="dxa" w:w="8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P0</w:t>
            </w:r>
          </w:p>
        </w:tc>
        <w:tc>
          <w:tcPr>
            <w:tcW w:type="dxa" w:w="8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🟢</w:t>
            </w:r>
          </w:p>
        </w:tc>
        <w:tc>
          <w:tcPr>
            <w:tcW w:type="dxa" w:w="28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Criar template relatório</w:t>
            </w:r>
          </w:p>
        </w:tc>
        <w:tc>
          <w:tcPr>
            <w:tcW w:type="dxa" w:w="176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Coord. MKT</w:t>
            </w:r>
          </w:p>
        </w:tc>
      </w:tr>
      <w:tr>
        <w:tc>
          <w:tcPr>
            <w:tcW w:type="dxa" w:w="8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P3.1</w:t>
            </w:r>
          </w:p>
        </w:tc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Agenda autoridade</w:t>
            </w:r>
          </w:p>
        </w:tc>
        <w:tc>
          <w:tcPr>
            <w:tcW w:type="dxa" w:w="8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P1</w:t>
            </w:r>
          </w:p>
        </w:tc>
        <w:tc>
          <w:tcPr>
            <w:tcW w:type="dxa" w:w="8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🟢</w:t>
            </w:r>
          </w:p>
        </w:tc>
        <w:tc>
          <w:tcPr>
            <w:tcW w:type="dxa" w:w="28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Calendário semestral</w:t>
            </w:r>
          </w:p>
        </w:tc>
        <w:tc>
          <w:tcPr>
            <w:tcW w:type="dxa" w:w="176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Coord. MKT</w:t>
            </w:r>
          </w:p>
        </w:tc>
      </w:tr>
      <w:tr>
        <w:tc>
          <w:tcPr>
            <w:tcW w:type="dxa" w:w="8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P4.1</w:t>
            </w:r>
          </w:p>
        </w:tc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Campanha 10 anos</w:t>
            </w:r>
          </w:p>
        </w:tc>
        <w:tc>
          <w:tcPr>
            <w:tcW w:type="dxa" w:w="8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P1</w:t>
            </w:r>
          </w:p>
        </w:tc>
        <w:tc>
          <w:tcPr>
            <w:tcW w:type="dxa" w:w="8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🟢</w:t>
            </w:r>
          </w:p>
        </w:tc>
        <w:tc>
          <w:tcPr>
            <w:tcW w:type="dxa" w:w="28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Briefing criativo</w:t>
            </w:r>
          </w:p>
        </w:tc>
        <w:tc>
          <w:tcPr>
            <w:tcW w:type="dxa" w:w="176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Coord. MKT</w:t>
            </w:r>
          </w:p>
        </w:tc>
      </w:tr>
      <w:tr>
        <w:tc>
          <w:tcPr>
            <w:tcW w:type="dxa" w:w="8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V1.1</w:t>
            </w:r>
          </w:p>
        </w:tc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Biblioteca provas</w:t>
            </w:r>
          </w:p>
        </w:tc>
        <w:tc>
          <w:tcPr>
            <w:tcW w:type="dxa" w:w="8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P0</w:t>
            </w:r>
          </w:p>
        </w:tc>
        <w:tc>
          <w:tcPr>
            <w:tcW w:type="dxa" w:w="8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🟢</w:t>
            </w:r>
          </w:p>
        </w:tc>
        <w:tc>
          <w:tcPr>
            <w:tcW w:type="dxa" w:w="28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Mapear 5 perfis decisor</w:t>
            </w:r>
          </w:p>
        </w:tc>
        <w:tc>
          <w:tcPr>
            <w:tcW w:type="dxa" w:w="176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Coord. MKT</w:t>
            </w:r>
          </w:p>
        </w:tc>
      </w:tr>
      <w:tr>
        <w:tc>
          <w:tcPr>
            <w:tcW w:type="dxa" w:w="8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V2.1</w:t>
            </w:r>
          </w:p>
        </w:tc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Kits destrave CS</w:t>
            </w:r>
          </w:p>
        </w:tc>
        <w:tc>
          <w:tcPr>
            <w:tcW w:type="dxa" w:w="8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P0</w:t>
            </w:r>
          </w:p>
        </w:tc>
        <w:tc>
          <w:tcPr>
            <w:tcW w:type="dxa" w:w="8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🟢</w:t>
            </w:r>
          </w:p>
        </w:tc>
        <w:tc>
          <w:tcPr>
            <w:tcW w:type="dxa" w:w="28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Levantar cenários com CS</w:t>
            </w:r>
          </w:p>
        </w:tc>
        <w:tc>
          <w:tcPr>
            <w:tcW w:type="dxa" w:w="176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Coord. MKT</w:t>
            </w:r>
          </w:p>
        </w:tc>
      </w:tr>
      <w:tr>
        <w:tc>
          <w:tcPr>
            <w:tcW w:type="dxa" w:w="8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V3.1</w:t>
            </w:r>
          </w:p>
        </w:tc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Templates prova</w:t>
            </w:r>
          </w:p>
        </w:tc>
        <w:tc>
          <w:tcPr>
            <w:tcW w:type="dxa" w:w="8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P1</w:t>
            </w:r>
          </w:p>
        </w:tc>
        <w:tc>
          <w:tcPr>
            <w:tcW w:type="dxa" w:w="8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🟢</w:t>
            </w:r>
          </w:p>
        </w:tc>
        <w:tc>
          <w:tcPr>
            <w:tcW w:type="dxa" w:w="28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Produzir template case</w:t>
            </w:r>
          </w:p>
        </w:tc>
        <w:tc>
          <w:tcPr>
            <w:tcW w:type="dxa" w:w="176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Coord. MKT</w:t>
            </w:r>
          </w:p>
        </w:tc>
      </w:tr>
      <w:tr>
        <w:tc>
          <w:tcPr>
            <w:tcW w:type="dxa" w:w="8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V4.1</w:t>
            </w:r>
          </w:p>
        </w:tc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Medição uso</w:t>
            </w:r>
          </w:p>
        </w:tc>
        <w:tc>
          <w:tcPr>
            <w:tcW w:type="dxa" w:w="8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P1</w:t>
            </w:r>
          </w:p>
        </w:tc>
        <w:tc>
          <w:tcPr>
            <w:tcW w:type="dxa" w:w="8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🟢</w:t>
            </w:r>
          </w:p>
        </w:tc>
        <w:tc>
          <w:tcPr>
            <w:tcW w:type="dxa" w:w="28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Definir registro simples</w:t>
            </w:r>
          </w:p>
        </w:tc>
        <w:tc>
          <w:tcPr>
            <w:tcW w:type="dxa" w:w="176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Coord. MKT</w:t>
            </w:r>
          </w:p>
        </w:tc>
      </w:tr>
      <w:tr>
        <w:tc>
          <w:tcPr>
            <w:tcW w:type="dxa" w:w="8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E1.1</w:t>
            </w:r>
          </w:p>
        </w:tc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Briefing padrão</w:t>
            </w:r>
          </w:p>
        </w:tc>
        <w:tc>
          <w:tcPr>
            <w:tcW w:type="dxa" w:w="8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P0</w:t>
            </w:r>
          </w:p>
        </w:tc>
        <w:tc>
          <w:tcPr>
            <w:tcW w:type="dxa" w:w="8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🟢</w:t>
            </w:r>
          </w:p>
        </w:tc>
        <w:tc>
          <w:tcPr>
            <w:tcW w:type="dxa" w:w="28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Publicar template</w:t>
            </w:r>
          </w:p>
        </w:tc>
        <w:tc>
          <w:tcPr>
            <w:tcW w:type="dxa" w:w="176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Coord. MKT</w:t>
            </w:r>
          </w:p>
        </w:tc>
      </w:tr>
      <w:tr>
        <w:tc>
          <w:tcPr>
            <w:tcW w:type="dxa" w:w="8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E2.1</w:t>
            </w:r>
          </w:p>
        </w:tc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Retrabalho</w:t>
            </w:r>
          </w:p>
        </w:tc>
        <w:tc>
          <w:tcPr>
            <w:tcW w:type="dxa" w:w="8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P1</w:t>
            </w:r>
          </w:p>
        </w:tc>
        <w:tc>
          <w:tcPr>
            <w:tcW w:type="dxa" w:w="8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🟢</w:t>
            </w:r>
          </w:p>
        </w:tc>
        <w:tc>
          <w:tcPr>
            <w:tcW w:type="dxa" w:w="28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Definir índice e coletar</w:t>
            </w:r>
          </w:p>
        </w:tc>
        <w:tc>
          <w:tcPr>
            <w:tcW w:type="dxa" w:w="176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Coord. MKT</w:t>
            </w:r>
          </w:p>
        </w:tc>
      </w:tr>
      <w:tr>
        <w:tc>
          <w:tcPr>
            <w:tcW w:type="dxa" w:w="8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E3.1</w:t>
            </w:r>
          </w:p>
        </w:tc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Painel métricas</w:t>
            </w:r>
          </w:p>
        </w:tc>
        <w:tc>
          <w:tcPr>
            <w:tcW w:type="dxa" w:w="8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P1</w:t>
            </w:r>
          </w:p>
        </w:tc>
        <w:tc>
          <w:tcPr>
            <w:tcW w:type="dxa" w:w="8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🟡</w:t>
            </w:r>
          </w:p>
        </w:tc>
        <w:tc>
          <w:tcPr>
            <w:tcW w:type="dxa" w:w="28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Alinhar Produto/Dados</w:t>
            </w:r>
          </w:p>
        </w:tc>
        <w:tc>
          <w:tcPr>
            <w:tcW w:type="dxa" w:w="176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Coord. MKT</w:t>
            </w:r>
          </w:p>
        </w:tc>
      </w:tr>
      <w:tr>
        <w:tc>
          <w:tcPr>
            <w:tcW w:type="dxa" w:w="8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E4.1</w:t>
            </w:r>
          </w:p>
        </w:tc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Contratações +2</w:t>
            </w:r>
          </w:p>
        </w:tc>
        <w:tc>
          <w:tcPr>
            <w:tcW w:type="dxa" w:w="8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P0</w:t>
            </w:r>
          </w:p>
        </w:tc>
        <w:tc>
          <w:tcPr>
            <w:tcW w:type="dxa" w:w="8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🟡</w:t>
            </w:r>
          </w:p>
        </w:tc>
        <w:tc>
          <w:tcPr>
            <w:tcW w:type="dxa" w:w="28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Definir perfis com RH</w:t>
            </w:r>
          </w:p>
        </w:tc>
        <w:tc>
          <w:tcPr>
            <w:tcW w:type="dxa" w:w="176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Cláudio</w:t>
            </w:r>
          </w:p>
        </w:tc>
      </w:tr>
    </w:tbl>
    <w:p>
      <w:pPr>
        <w:spacing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000"/>
        <w:gridCol w:w="3960"/>
      </w:tblGrid>
      <w:tr>
        <w:tc>
          <w:tcPr>
            <w:tcW w:type="dxa" w:w="1400"/>
            <w:tcBorders>
              <w:top w:val="none" w:sz="0"/>
              <w:left w:val="none" w:sz="0"/>
              <w:bottom w:val="single" w:color="2980B9" w:sz="6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Semáforo</w:t>
            </w:r>
          </w:p>
        </w:tc>
        <w:tc>
          <w:tcPr>
            <w:tcW w:type="dxa" w:w="4000"/>
            <w:tcBorders>
              <w:top w:val="none" w:sz="0"/>
              <w:left w:val="none" w:sz="0"/>
              <w:bottom w:val="single" w:color="2980B9" w:sz="6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Significado</w:t>
            </w:r>
          </w:p>
        </w:tc>
        <w:tc>
          <w:tcPr>
            <w:tcW w:type="dxa" w:w="3960"/>
            <w:tcBorders>
              <w:top w:val="none" w:sz="0"/>
              <w:left w:val="none" w:sz="0"/>
              <w:bottom w:val="single" w:color="2980B9" w:sz="6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Ação no WBR</w:t>
            </w:r>
          </w:p>
        </w:tc>
      </w:tr>
      <w:tr>
        <w:tc>
          <w:tcPr>
            <w:tcW w:type="dxa" w:w="1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🟢 Verde</w:t>
            </w:r>
          </w:p>
        </w:tc>
        <w:tc>
          <w:tcPr>
            <w:tcW w:type="dxa" w:w="40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Execução no prazo — sem bloqueio</w:t>
            </w:r>
          </w:p>
        </w:tc>
        <w:tc>
          <w:tcPr>
            <w:tcW w:type="dxa" w:w="396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Registrar evidência e avançar</w:t>
            </w:r>
          </w:p>
        </w:tc>
      </w:tr>
      <w:tr>
        <w:tc>
          <w:tcPr>
            <w:tcW w:type="dxa" w:w="1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🟡 Amarelo</w:t>
            </w:r>
          </w:p>
        </w:tc>
        <w:tc>
          <w:tcPr>
            <w:tcW w:type="dxa" w:w="40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Risco identificado — pode atrasar</w:t>
            </w:r>
          </w:p>
        </w:tc>
        <w:tc>
          <w:tcPr>
            <w:tcW w:type="dxa" w:w="396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Nomear ação corretiva com prazo</w:t>
            </w:r>
          </w:p>
        </w:tc>
      </w:tr>
      <w:tr>
        <w:tc>
          <w:tcPr>
            <w:tcW w:type="dxa" w:w="1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🔴 Vermelho</w:t>
            </w:r>
          </w:p>
        </w:tc>
        <w:tc>
          <w:tcPr>
            <w:tcW w:type="dxa" w:w="40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Bloqueio ativo — exige decisão</w:t>
            </w:r>
          </w:p>
        </w:tc>
        <w:tc>
          <w:tcPr>
            <w:tcW w:type="dxa" w:w="396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Escalar para Direção no WBR</w:t>
            </w:r>
          </w:p>
        </w:tc>
      </w:tr>
    </w:tbl>
    <w:p>
      <w:pPr>
        <w:pBdr>
          <w:bottom w:val="single" w:color="2980B9" w:sz="6" w:space="4"/>
        </w:pBdr>
        <w:spacing w:before="360" w:after="160"/>
      </w:pPr>
      <w:r>
        <w:rPr>
          <w:rFonts w:ascii="Calibri Light" w:cs="Calibri Light" w:eastAsia="Calibri Light" w:hAnsi="Calibri Light"/>
          <w:b/>
          <w:bCs/>
          <w:color w:val="2980B9"/>
          <w:sz w:val="30"/>
          <w:szCs w:val="30"/>
        </w:rPr>
        <w:t xml:space="preserve">9.  </w:t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Glossário operacional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c>
          <w:tcPr>
            <w:tcW w:type="dxa" w:w="2400"/>
            <w:tcBorders>
              <w:top w:val="none" w:sz="0"/>
              <w:left w:val="none" w:sz="0"/>
              <w:bottom w:val="single" w:color="2980B9" w:sz="6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Termo operacional</w:t>
            </w:r>
          </w:p>
        </w:tc>
        <w:tc>
          <w:tcPr>
            <w:tcW w:type="dxa" w:w="3200"/>
            <w:tcBorders>
              <w:top w:val="none" w:sz="0"/>
              <w:left w:val="none" w:sz="0"/>
              <w:bottom w:val="single" w:color="2980B9" w:sz="6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Equivalente PE2026</w:t>
            </w:r>
          </w:p>
        </w:tc>
        <w:tc>
          <w:tcPr>
            <w:tcW w:type="dxa" w:w="3760"/>
            <w:tcBorders>
              <w:top w:val="none" w:sz="0"/>
              <w:left w:val="none" w:sz="0"/>
              <w:bottom w:val="single" w:color="2980B9" w:sz="6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Definição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Limite de gasto</w:t>
            </w:r>
          </w:p>
        </w:tc>
        <w:tc>
          <w:tcPr>
            <w:tcW w:type="dxa" w:w="32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Envelope orçamentário</w:t>
            </w:r>
          </w:p>
        </w:tc>
        <w:tc>
          <w:tcPr>
            <w:tcW w:type="dxa" w:w="376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Valor máximo aprovado para o programa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Quem faz o quê</w:t>
            </w:r>
          </w:p>
        </w:tc>
        <w:tc>
          <w:tcPr>
            <w:tcW w:type="dxa" w:w="32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RACI</w:t>
            </w:r>
          </w:p>
        </w:tc>
        <w:tc>
          <w:tcPr>
            <w:tcW w:type="dxa" w:w="376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Tabela de papéis: executa, decide, apoia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Critério de encerramento</w:t>
            </w:r>
          </w:p>
        </w:tc>
        <w:tc>
          <w:tcPr>
            <w:tcW w:type="dxa" w:w="32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DoD</w:t>
            </w:r>
          </w:p>
        </w:tc>
        <w:tc>
          <w:tcPr>
            <w:tcW w:type="dxa" w:w="376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O que precisa existir para INIT estar concluída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Prova de execução</w:t>
            </w:r>
          </w:p>
        </w:tc>
        <w:tc>
          <w:tcPr>
            <w:tcW w:type="dxa" w:w="32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Evidência (EVID)</w:t>
            </w:r>
          </w:p>
        </w:tc>
        <w:tc>
          <w:tcPr>
            <w:tcW w:type="dxa" w:w="376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Registro verificável de que a entrega foi feita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Semáforo</w:t>
            </w:r>
          </w:p>
        </w:tc>
        <w:tc>
          <w:tcPr>
            <w:tcW w:type="dxa" w:w="32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Status visual WBR</w:t>
            </w:r>
          </w:p>
        </w:tc>
        <w:tc>
          <w:tcPr>
            <w:tcW w:type="dxa" w:w="376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Verde/Amarelo/Vermelho — estado atual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Dono</w:t>
            </w:r>
          </w:p>
        </w:tc>
        <w:tc>
          <w:tcPr>
            <w:tcW w:type="dxa" w:w="32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Accountable</w:t>
            </w:r>
          </w:p>
        </w:tc>
        <w:tc>
          <w:tcPr>
            <w:tcW w:type="dxa" w:w="376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1 pessoa responsável pelo resultado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Sponsor</w:t>
            </w:r>
          </w:p>
        </w:tc>
        <w:tc>
          <w:tcPr>
            <w:tcW w:type="dxa" w:w="32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Patrocinador</w:t>
            </w:r>
          </w:p>
        </w:tc>
        <w:tc>
          <w:tcPr>
            <w:tcW w:type="dxa" w:w="376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Garante prioridade e destrava — nível Direção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WBR</w:t>
            </w:r>
          </w:p>
        </w:tc>
        <w:tc>
          <w:tcPr>
            <w:tcW w:type="dxa" w:w="32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Revisão semanal</w:t>
            </w:r>
          </w:p>
        </w:tc>
        <w:tc>
          <w:tcPr>
            <w:tcW w:type="dxa" w:w="376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Feito, bloqueado, próximas ações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MBR</w:t>
            </w:r>
          </w:p>
        </w:tc>
        <w:tc>
          <w:tcPr>
            <w:tcW w:type="dxa" w:w="32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Revisão mensal</w:t>
            </w:r>
          </w:p>
        </w:tc>
        <w:tc>
          <w:tcPr>
            <w:tcW w:type="dxa" w:w="376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KPIs, metas, decisões e backlog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Roteiro (RE)</w:t>
            </w:r>
          </w:p>
        </w:tc>
        <w:tc>
          <w:tcPr>
            <w:tcW w:type="dxa" w:w="32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Camada 3</w:t>
            </w:r>
          </w:p>
        </w:tc>
        <w:tc>
          <w:tcPr>
            <w:tcW w:type="dxa" w:w="376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Documento operacional para WBR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INIT</w:t>
            </w:r>
          </w:p>
        </w:tc>
        <w:tc>
          <w:tcPr>
            <w:tcW w:type="dxa" w:w="32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Iniciativa</w:t>
            </w:r>
          </w:p>
        </w:tc>
        <w:tc>
          <w:tcPr>
            <w:tcW w:type="dxa" w:w="376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Ação concreta com dono, prazo, custo, evidência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P0 / P1 / P2</w:t>
            </w:r>
          </w:p>
        </w:tc>
        <w:tc>
          <w:tcPr>
            <w:tcW w:type="dxa" w:w="32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Prioridade</w:t>
            </w:r>
          </w:p>
        </w:tc>
        <w:tc>
          <w:tcPr>
            <w:tcW w:type="dxa" w:w="376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P0: crítico 90d · P1: estratégico · P2: melhoria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CPL</w:t>
            </w:r>
          </w:p>
        </w:tc>
        <w:tc>
          <w:tcPr>
            <w:tcW w:type="dxa" w:w="32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Custo por Lead</w:t>
            </w:r>
          </w:p>
        </w:tc>
        <w:tc>
          <w:tcPr>
            <w:tcW w:type="dxa" w:w="376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Investimento MKT / leads qualificados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ROI</w:t>
            </w:r>
          </w:p>
        </w:tc>
        <w:tc>
          <w:tcPr>
            <w:tcW w:type="dxa" w:w="32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Retorno sobre investimento</w:t>
            </w:r>
          </w:p>
        </w:tc>
        <w:tc>
          <w:tcPr>
            <w:tcW w:type="dxa" w:w="376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Resultado financeiro por ação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Pipeline</w:t>
            </w:r>
          </w:p>
        </w:tc>
        <w:tc>
          <w:tcPr>
            <w:tcW w:type="dxa" w:w="32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Funil de oportunidades</w:t>
            </w:r>
          </w:p>
        </w:tc>
        <w:tc>
          <w:tcPr>
            <w:tcW w:type="dxa" w:w="376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Oportunidades em etapas de conversão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2" w:space="4"/>
      </w:pBdr>
      <w:tabs>
        <w:tab w:val="right" w:pos="9360"/>
      </w:tabs>
    </w:pPr>
    <w:r>
      <w:rPr>
        <w:rFonts w:ascii="Calibri" w:cs="Calibri" w:eastAsia="Calibri" w:hAnsi="Calibri"/>
        <w:color w:val="94A3B8"/>
        <w:sz w:val="14"/>
        <w:szCs w:val="14"/>
      </w:rPr>
      <w:t xml:space="preserve">Confidencial — Uso interno</w:t>
    </w:r>
    <w:r>
      <w:rPr>
        <w:rFonts w:ascii="Calibri" w:cs="Calibri" w:eastAsia="Calibri" w:hAnsi="Calibri"/>
        <w:sz w:val="14"/>
        <w:szCs w:val="14"/>
      </w:rPr>
      <w:t xml:space="preserve">	</w:t>
    </w:r>
    <w:r>
      <w:rPr>
        <w:rFonts w:ascii="Calibri" w:cs="Calibri" w:eastAsia="Calibri" w:hAnsi="Calibri"/>
        <w:color w:val="94A3B8"/>
        <w:sz w:val="14"/>
        <w:szCs w:val="14"/>
      </w:rPr>
      <w:t xml:space="preserve">Página </w:t>
    </w:r>
    <w:r>
      <w:rPr>
        <w:rFonts w:ascii="Calibri" w:cs="Calibri" w:eastAsia="Calibri" w:hAnsi="Calibri"/>
        <w:color w:val="94A3B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980B9" w:sz="4" w:space="4"/>
      </w:pBdr>
      <w:tabs>
        <w:tab w:val="right" w:pos="9360"/>
      </w:tabs>
    </w:pPr>
    <w:r>
      <w:rPr>
        <w:rFonts w:ascii="Calibri" w:cs="Calibri" w:eastAsia="Calibri" w:hAnsi="Calibri"/>
        <w:b/>
        <w:bCs/>
        <w:color w:val="2980B9"/>
        <w:sz w:val="16"/>
        <w:szCs w:val="16"/>
      </w:rPr>
      <w:t xml:space="preserve">PE 2026</w:t>
    </w:r>
    <w:r>
      <w:rPr>
        <w:rFonts w:ascii="Calibri" w:cs="Calibri" w:eastAsia="Calibri" w:hAnsi="Calibri"/>
        <w:sz w:val="16"/>
        <w:szCs w:val="16"/>
      </w:rPr>
      <w:t xml:space="preserve">	</w:t>
    </w:r>
    <w:r>
      <w:rPr>
        <w:rFonts w:ascii="Calibri" w:cs="Calibri" w:eastAsia="Calibri" w:hAnsi="Calibri"/>
        <w:color w:val="94A3B8"/>
        <w:sz w:val="16"/>
        <w:szCs w:val="16"/>
      </w:rPr>
      <w:t xml:space="preserve">RE-MKT v1 — Roteiro Marketing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Calibri Light" w:cs="Calibri Light" w:eastAsia="Calibri Light" w:hAnsi="Calibri Light"/>
      <w:color w:val="0C2340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60" w:after="100"/>
      <w:outlineLvl w:val="1"/>
    </w:pPr>
    <w:rPr>
      <w:rFonts w:ascii="Calibri" w:cs="Calibri" w:eastAsia="Calibri" w:hAnsi="Calibri"/>
      <w:b/>
      <w:bCs/>
      <w:color w:val="163B5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2026-03-15T16:30:51.957Z</dcterms:created>
  <dcterms:modified xsi:type="dcterms:W3CDTF">2026-03-15T16:30:51.958Z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