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left w:val="single" w:color="2980B9" w:sz="24" w:space="12"/>
        </w:pBdr>
        <w:spacing w:after="60"/>
      </w:pPr>
      <w:r>
        <w:rPr>
          <w:rFonts w:ascii="Calibri Light" w:cs="Calibri Light" w:eastAsia="Calibri Light" w:hAnsi="Calibri Light"/>
          <w:color w:val="94A3B8"/>
          <w:sz w:val="20"/>
          <w:szCs w:val="20"/>
        </w:rPr>
        <w:t xml:space="preserve">PLANEJAMENTO ESTRATÉGICO 2026</w:t>
      </w:r>
    </w:p>
    <w:p>
      <w:pPr>
        <w:pBdr>
          <w:left w:val="single" w:color="2980B9" w:sz="24" w:space="12"/>
        </w:pBdr>
        <w:spacing w:after="60"/>
      </w:pPr>
      <w:r>
        <w:rPr>
          <w:rFonts w:ascii="Calibri Light" w:cs="Calibri Light" w:eastAsia="Calibri Light" w:hAnsi="Calibri Light"/>
          <w:color w:val="0C2340"/>
          <w:sz w:val="40"/>
          <w:szCs w:val="40"/>
        </w:rPr>
        <w:t xml:space="preserve">DOC 11-C v2 — Caderno Gerencial</w:t>
      </w:r>
    </w:p>
    <w:p>
      <w:pPr>
        <w:pBdr>
          <w:left w:val="single" w:color="2980B9" w:sz="24" w:space="12"/>
        </w:pBdr>
        <w:spacing w:after="200"/>
      </w:pPr>
      <w:r>
        <w:rPr>
          <w:rFonts w:ascii="Calibri Light" w:cs="Calibri Light" w:eastAsia="Calibri Light" w:hAnsi="Calibri Light"/>
          <w:color w:val="2980B9"/>
          <w:sz w:val="32"/>
          <w:szCs w:val="32"/>
        </w:rPr>
        <w:t xml:space="preserve">Produto · Dados · P&amp;D</w:t>
      </w:r>
    </w:p>
    <w:p>
      <w:pPr>
        <w:pBdr>
          <w:left w:val="single" w:color="2980B9" w:sz="24" w:space="12"/>
        </w:pBdr>
        <w:spacing w:after="4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Mandato · Fronteiras · Programas · Envelope · Placar · Governança</w:t>
      </w:r>
    </w:p>
    <w:p>
      <w:pPr>
        <w:spacing w:before="6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Versão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— 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Camada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(Caderno Gerencial)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LR-05 (P&amp;D como equipe dedicada) · LC-04 (parcial)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11-C original + DOC 06 v2 + ESTUDO_DESPESAS_2025 + Calibrações #2, #4, #10</w:t>
            </w:r>
          </w:p>
        </w:tc>
      </w:tr>
    </w:tbl>
    <w:p>
      <w:r>
        <w:br w:type="page"/>
      </w:r>
    </w:p>
    <w:p>
      <w:pPr>
        <w:spacing w:before="200" w:after="24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  Contexto e justificativa estratégica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3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  Mandato da área de Produto/Dados/P&amp;D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4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  Fronteiras e interfaces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5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  Premissas e restrições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6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5  Arquitetura gerencial — Objetivos e programas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7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6  Envelope orçamentário 2026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8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7  Placar — KPIs e guardrails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9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8  Governança WBR / MBR / QBR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10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9  Entregas mínimas do ano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11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10  Identidade visual por programa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11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11  Rastreabilidade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12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12  Glossário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12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Contexto e justificativa estratégica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tese estratégica do PE2026 posiciona Produto, Dados e P&amp;D como pilar de vantagem defensável (OKR-P4). A construção de densidade intelectual — prova de valor, inteligência de dados, automação e maturidade de produto — é condição para o Techdengue atingir padrão sell-ready em 5 anos. Em 2025, P&amp;D operou com subinvestimento de 38,3% (R$512K real vs R$829K orçado), resultando em atraso em frentes críticas como pacote de evidências, baseline de adoção e automação.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área não possui equipe formal dedicada. O modelo operacional real é Direção Executiva como sponsor e decisor, com consultorias externas como executoras de frentes específicas. A revisão v2 reflete essa realidade — sem premissa de contratação P&amp;D em 2026 (Cal.#2, Cal.#4).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Gaps quantificados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40"/>
        <w:gridCol w:w="26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2025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H1/2026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H2/2026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 por contratante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Inexistente — sem pacote padronizado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Pacote Top-14 mensal + devolutiva ≥ 70%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100% Pareto com prova recorrente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Inteligência de dados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Dados operacionais sem consolidação analítica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adoção + painel monetização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Melhoria ≥ 15% uso do produto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Automação e IA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Nenhuma frente implantada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Roadmap priorizado + 1ª frente em execução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2 frentes com ganho mensurável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Padronização do fluxo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Processos informais, retrabalho recorrente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Fluxo padrão documentado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Retrabalho −20% vs baseline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Maturidade documental sell-ready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 IP, sem portfólio técnico estruturado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Inventário de ativos + roadmap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Portfólio v1.0 para diligência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Por que 2026 amplifica o risco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concentra pressões sobre P&amp;D: a monetização da base contratual (P2) exige prova de valor padronizada; a escala operacional (P3) demanda automação para sustentar margem; a tese sell-ready requer maturidade documental e de produto; e a IA aprovada (R$230-370K) exige orientação estratégica de P&amp;D mesmo que executada por Tecnologia. Se os gaps não forem tratados: prova de valor improvisada, escala sem padronização e diligência sem lastro técnico.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Mandato da área de Produto/Dados/P&amp;D</w:t>
      </w:r>
    </w:p>
    <w:p>
      <w:pPr>
        <w:pBdr>
          <w:left w:val="single" w:color="0C2340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Calibração #4 — P&amp;D opera sem equipe formal dedicada. Modelo: Direção Executiva como sponsor/decisor + consultorias externas como executoras.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Orientação estratégica de produto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Definir roadmap, priorização de funcionalidades e evolução do portfólio Techdengue e Aero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 e inteligência de dados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Construir, padronizar e entregar pacotes de evidências para contratantes, alimentando CS e Comercial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Orientação de IA e automação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Definir diretrizes, priorizar frentes e validar resultados. Execução via centro Tecnologia/Investimentos (Cal.#10)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Padronização e qualidade do fluxo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Documentar processos-chave, reduzir retrabalho, elevar qualidade de entrega operacional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Maturidade técnica sell-ready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Construir portfólio de IP, documentação técnica e ativos de conhecimento para diligência futura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Gestão de consultorias P&amp;D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Contratar, acompanhar e avaliar entregas de consultorias externas que executam frentes de P&amp;D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O que P&amp;D não faz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Execução direta de IA/automação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centro Tecnologia/Investimentos (Cal.#10).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Operação de campo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área de Operações.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Relacionamento direto com contratante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CS/Relacionamento.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Geração de demanda ou posicionamento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Marketing.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Fronteiras e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 com P&amp;D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de P&amp;D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Fluxo operacional, qualidade de entrega, retrabalho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Define padrão; Operações executa e reporta aderência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 / Relacionamento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valor, devolutiva, adoção de produto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Produz pacote de evidências; CS entrega e coleta feedback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Marketing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Conteúdo técnico, kits de prova de valor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Fornece insumo técnico; MKT posiciona e distribui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Comercial (em criação)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Portfólio técnico, argumentário de valor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Fornece material técnico; Comercial usa em prospecção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Tecnologia/Investimentos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IA, automação, sistemas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Orienta e valida; Tecnologia executa e mantém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Envelope P&amp;D, ROI de investimentos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Define necessidade; Financeiro controla e reporta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3.1 Regras de fronteira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P&amp;D é dono do "quê" e "por quê"; as áreas executoras são donas do "como" e "quando". Quando há sobreposição (ex.: conteúdo técnico para MKT, ferramentas para CS), P&amp;D produz o ativo; a área parceira distribui e opera. Conflitos de priorização sobem para a Direção Executiva na WBR.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Premissas e restrições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Premissas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40"/>
        <w:gridCol w:w="36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 não se confirmar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PM-01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Executiva mantém disponibilidade de 15-20% para sponsorship P&amp;D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Frentes sem decisor → atraso em entregas críticas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PM-02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Consultorias externas contratáveis com lead time ≤ 30 dias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Início de frentes atrasa → timeline de KRs comprometida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PM-03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Dados operacionais de 2025 disponíveis e confiáveis para baseline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imprecisa → metas de melhoria sem referência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PM-04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 e Operações colaboram na coleta de dados e feedback de contratantes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 sem insumo → prova de valor incompleta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PM-05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Envelope de R$700-900K aprovado e disponível por trimestre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Subinvestimento recorrente → repetição de 2025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Restrições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40"/>
        <w:gridCol w:w="36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Implicação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RS-01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 contratação de liderança P&amp;D em 2026 (Cal.#2)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Toda coordenação fica com Direção Executiva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RS-02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IA/Automação executada por Tecnologia, não P&amp;D (Cal.#10)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 orienta e valida, mas não controla prazo de execução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RS-03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Orçamento IA (R$230-370K) separado do envelope P&amp;D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Envelope P&amp;D de R$700-900K não inclui investimentos IA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RS-04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Área Comercial em criação — sem interlocutor fixo até Q2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Portfólio técnico fica com P&amp;D e CS até ativação do Comercial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RS-05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 equipe interna P&amp;D — dependência total de consultorias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Risco de continuidade se consultoria descontinuar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Arquitetura gerencial — Objetivos e programas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área opera com 4 objetivos estratégicos desdobrados em 4 programas, cada um vinculado a OKRs corporativos. O modelo é orientado por resultados (KRs), não por atividades.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Objetivos estratégicos do ano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80"/>
        <w:gridCol w:w="2300"/>
        <w:gridCol w:w="27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Pilar PE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Corporativo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O1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Padronizar fluxo e elevar qualidade operacional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P3 — Escala/Margem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OKR-P3 (P3.3, P3.4)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O2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Construir prova de valor e inteligência de dados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P4 — Produto/Dados/IA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OKR-P4 (P4.1–P4.4)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O3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Orientar IA e automação como alavanca de eficiência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P4 — Produto/Dados/IA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OKR-P4 (P4.5)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O4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Elevar maturidade técnica para padrão sell-ready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P1 — Governança/Spin-off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OKR-P1 (P1.5)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Programas vinculados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4280"/>
        <w:gridCol w:w="27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Executor primário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20"/>
                <w:szCs w:val="20"/>
              </w:rPr>
              <w:t xml:space="preserve">P&amp;D-P1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Eficiência e Qualidade do Fluxo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O1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Processos informais geram retrabalho e inconsistência de entrega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 processos + Operações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20"/>
                <w:szCs w:val="20"/>
              </w:rPr>
              <w:t xml:space="preserve">P&amp;D-P2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Prova de Valor e Inteligência de Dados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O2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Contratantes não recebem evidência padronizada de resultado — risco de não renovação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 dados + CS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D4C41"/>
                <w:sz w:val="20"/>
                <w:szCs w:val="20"/>
              </w:rPr>
              <w:t xml:space="preserve">P&amp;D-P3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IA Aplicada e Automação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O3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Processos manuais limitam escala e comprimem margem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Tecnologia (execução) · P&amp;D (orientação)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P&amp;D-P4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Novos Produtos e Maturidade Sell-Ready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O4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 portfólio técnico nem IP documentada, diligência futura fica sem lastro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 produto + Comercial (quando ativa)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Envelope orçamentário 2026</w:t>
      </w:r>
    </w:p>
    <w:p>
      <w:pPr>
        <w:pBdr>
          <w:left w:val="single" w:color="0E8C6B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Envelope P&amp;D: R$700-900K. Separado do investimento IA/Automação (R$230-370K em Tecnologia). Base: P&amp;D 2025 real R$512K + restauração.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228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(R$)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Consultorias especializadas (dados, produto, processos)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R$ 350–450K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 contratar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P&amp;D-P1, P2, P4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Modelos analíticos e ferramentas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R$ 150–200K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Parcial existente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Testes de campo e prototipagem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R$ 80–100K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P&amp;D-P1, P4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Licenças e plataformas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R$ 40–60K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Renovação + novas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P&amp;D-P2, P3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Folha P&amp;D (alocação Direção)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R$ 65–80K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Ativo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Transversal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Contingência P&amp;D (5%)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R$ 35–45K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Reserva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52"/>
        <w:jc w:val="both"/>
      </w:pP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Envelope total P&amp;D: R$ 700–900K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· Variação vs 2025: +37% a +76% · Meta de P&amp;D/Receita: ≥ 6,5%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6.1 Relação com IA/Automação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investimento em IA/Automação (R$230-370K, Cal.#10) está alocado no centro de custo Tecnologia/Investimentos, não no envelope P&amp;D. P&amp;D contribui com orientação estratégica (roadmap, priorização, validação de resultados), mas o custo de execução é separado. Essa separação evita distorção do envelope P&amp;D e mantém rastreabilidade contábil limpa.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Placar — KPIs e guardrails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KPIs de acompanhamento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80"/>
        <w:gridCol w:w="1200"/>
        <w:gridCol w:w="2800"/>
        <w:gridCol w:w="20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KPI-01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% contratantes Pareto Top-14 com pacote de evidências entregue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70% até jun · 100% até dez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KPI-02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Taxa de devolutiva registrada por contratante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70%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KPI-03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Índice de adoção do produto (baseline → melhoria)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Q1 · +15% até dez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KPI-04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Frentes de automação/IA com ganho mensurável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2 até set/2026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KPI-05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Redução de retrabalho operacional vs baseline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−20% até dez/2026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KPI-06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Execução do envelope P&amp;D (% gasto vs alocado)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70–100% (evitar sub/sobreexecução)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Transversal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KPI-07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Ativos técnicos documentados para diligência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Semestral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Inventário Q2 · Portfólio v1.0 Q4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P&amp;D-P4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7.2 Guardrails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840"/>
        <w:gridCol w:w="284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Subexecução P&amp;D &gt; 25% por trimestre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CRÍTICO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Gasto &lt; 75% do alocado trimestral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Revisão extraordinária de roadmap e consultorias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Nenhuma frente IA iniciada até jun/2026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CRÍTICO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P4.5 sem avanço no H1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Escalar para Direção com plano de contingência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 sem uso por 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ATENÇÃO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Pacote entregue mas não utilizado em ≥ 3 meses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Revisar formato e canal com CS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 sem entrega em 60 dias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ATENÇÃO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Contrato ativo sem deliverable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Revisão contratual + plano 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Governança WBR / MBR / QBR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40"/>
        <w:gridCol w:w="324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WBR (semanal)
15 min — Direção + partners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Status das INITs ativas · Impedimentos · Decisões rápidas · Semáforo atualizado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Painel WBR atualizado com semáforo e próxima ação por INIT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MBR (mensal)
30 min — Direção + Coord. áreas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KPIs do mês · Execução do envelope · Andamento dos programas · Riscos emergentes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Relatório MBR com KPIs, desvios e plano de correção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QBR (trimestral)
60 min — Direção + Board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Revisão de tese P&amp;D · Roadmap vs realidade · ROI de consultorias · Decisões estruturais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Apresentação executiva com recomendação de ajustes para próximo trimestre</w:t>
            </w:r>
          </w:p>
        </w:tc>
      </w:tr>
    </w:tbl>
    <w:p>
      <w:pPr>
        <w:pBdr>
          <w:left w:val="single" w:color="B8860B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 WBR de P&amp;D pode ser integrada à WBR geral da Direção, dado que o sponsor é o mesmo. A separação só é necessária se o volume de INITs justificar.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Entregas mínimas do ano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400"/>
        <w:gridCol w:w="1480"/>
        <w:gridCol w:w="3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Fluxo operacional padrão documentado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Jun/2026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Documento + baseline retrabalho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E-02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Pacote de Evidências Top-14 operante mensalmente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Mar–Jun/2026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EVID mensal + devolutiva registrada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E-03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Relatório executivo de prova de valor v1.0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Mar/2026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Documento publicado + uso por CS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E-04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Painel de gestão da monetização operante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Abr/2026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Dashboard ativo + leitura WBR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de uso do produto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Abr/2026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Métricas registradas + plano de melhoria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E-06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Roadmap IA priorizado e validado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P&amp;D-P3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Abr/2026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Documento + aprovação Direção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E-07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2 frentes IA com ganho mensurável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P&amp;D-P3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Set/2026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Evidência de tempo, custo ou qualidade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E-08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Inventário de ativos técnicos/IP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P&amp;D-P4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Jun/2026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Catálogo documentado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E-09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Portfólio técnico v1.0 para diligência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P&amp;D-P4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Dez/2026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Documento entregável para due diligence</w:t>
            </w:r>
          </w:p>
        </w:tc>
      </w:tr>
    </w:tbl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Identidade visual por programa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programa possui cor primária diferenciada para uso em dashboards, apresentações e documentos operacionais. A paleta foi desenhada para contrastar com as paletas de RH e MKT, mantendo identidade de área técnica/dados.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1600"/>
        <w:gridCol w:w="1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 · Eficiência e Qualidade do Fluxo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#455A64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20"/>
                <w:szCs w:val="20"/>
              </w:rPr>
              <w:t xml:space="preserve">P&amp;D-P1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 · Prova de Valor e Inteligência de Dados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#00838F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6D4C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P&amp;D-P3 · IA Aplicada e Automação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#6D4C41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4C41"/>
                <w:sz w:val="20"/>
                <w:szCs w:val="20"/>
              </w:rPr>
              <w:t xml:space="preserve">P&amp;D-P3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P&amp;D-P4 · Novos Produtos e Maturidade Sell-Ready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#E65100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P&amp;D-P4</w:t>
            </w:r>
          </w:p>
        </w:tc>
      </w:tr>
    </w:tbl>
    <w:p>
      <w:pPr>
        <w:spacing w:before="120"/>
      </w:pPr>
    </w:p>
    <w:p>
      <w:pPr>
        <w:pBdr>
          <w:left w:val="single" w:color="B8860B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Paleta estrutural PE2026 mantida: navy #0C2340 / accent #2980B9. Paletas RH e MKT preservadas sem alteração.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Rastreabilidade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11.1 Decisões executivas de referência (DECs)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8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Cal.#2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Prioridade COO + Comercial &gt; P&amp;D Supervisor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Fev/2026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Cal.#4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 sem equipe formal — Direção + consultorias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Fev/2026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Cal.#10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IA/Automação R$230-370K em Tecnologia, não P&amp;D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Fev/2026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11.2 Dependências externas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8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P&amp;D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 / Relacionamento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Dados de feedback e adoção dos contratantes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Insumo para P&amp;D-P2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Dados de retrabalho, lead time, qualidade de entrega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Insumo para P&amp;D-P1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Tecnologia/Investimentos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Execução de frentes IA aprovadas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Executor de P&amp;D-P3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Liberação trimestral do envelope P&amp;D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Recurso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Comercial (quando ativa)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Feedback de mercado, demanda de portfólio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Insumo para P&amp;D-P4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Glossário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Pacote de Evidências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Conjunto padronizado de indicadores, mapas e resultados entregue a cada contratante mensalmente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Devolutiva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Retorno formal do contratante sobre o pacote de evidências recebido — indicador de engajamento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de adoção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Medição inicial de uso do produto (métricas de engajamento, funcionalidades utilizadas, satisfação)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Demonstração quantificada do impacto do serviço — insumo para renovação e expansão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Roadmap de produto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Plano priorizado de evolução de funcionalidades e novos produtos, com horizonte de 12-18 meses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IP (Propriedade Intelectual)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Ativos de conhecimento documentados: modelos, algoritmos, processos, publicações, marcas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Sell-ready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Padrão de maturidade técnica e documental compatível com processo de diligência/transação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Diligência (due diligence)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Processo de auditoria técnica e financeira para avaliação de empresa em contexto de transação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Envelope orçamentário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Limite macro de despesa por área, sem detalhamento mensal — restrição que dá credibilidade ao plano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Guardrail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Limite de segurança que, quando violado, ativa revisão extraordinária ou escala para decisor</w:t>
            </w:r>
          </w:p>
        </w:tc>
      </w:tr>
    </w:tbl>
    <w:p>
      <w:pPr>
        <w:pBdr>
          <w:top w:val="single" w:color="94A3B8" w:sz="4" w:space="8"/>
        </w:pBdr>
        <w:spacing w:before="6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11-C v2 — Caderno Gerencial Produto/Dados/P&amp;D — Março/2026 — Bloco B3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Aero Engenharia + Techdengue</w:t>
      </w: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 w:space="4"/>
      </w:pBdr>
      <w:tabs>
        <w:tab w:val="right" w:pos="1008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10080"/>
      </w:tabs>
      <w:spacing w:after="0"/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	DOC 11-C v2 — Caderno Gerencial Produto/Dados/P&amp;D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 Light" w:cs="Calibri Light" w:eastAsia="Calibri Light" w:hAnsi="Calibri Light"/>
      <w:b w:val="false"/>
      <w:bCs w:val="false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2026-03-15T17:14:52.404Z</dcterms:created>
  <dcterms:modified xsi:type="dcterms:W3CDTF">2026-03-15T17:14:52.404Z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