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pBdr>
          <w:bottom w:val="single" w:color="2980B9" w:sz="18" w:space="6"/>
        </w:pBdr>
      </w:pPr>
      <w:r>
        <w:rPr>
          <w:sz w:val="4"/>
          <w:szCs w:val="4"/>
        </w:rPr>
        <w:t xml:space="preserve"> </w:t>
      </w:r>
    </w:p>
    <w:p>
      <w:pPr>
        <w:spacing w:before="300" w:after="60"/>
      </w:pPr>
      <w:r>
        <w:rPr>
          <w:rFonts w:ascii="Calibri Light" w:cs="Calibri Light" w:eastAsia="Calibri Light" w:hAnsi="Calibri Light"/>
          <w:color w:val="94A3B8"/>
          <w:sz w:val="20"/>
          <w:szCs w:val="20"/>
        </w:rPr>
        <w:t xml:space="preserve">PE 2026</w:t>
      </w:r>
    </w:p>
    <w:p>
      <w:pPr>
        <w:spacing w:before="60" w:after="80"/>
      </w:pPr>
      <w:r>
        <w:rPr>
          <w:rFonts w:ascii="Calibri Light" w:cs="Calibri Light" w:eastAsia="Calibri Light" w:hAnsi="Calibri Light"/>
          <w:color w:val="0C2340"/>
          <w:sz w:val="44"/>
          <w:szCs w:val="44"/>
        </w:rPr>
        <w:t xml:space="preserve">Caderno Setorial — Operação · Direção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OKRs · Contratos de Resultado · Riscos · Cadência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Documento</w:t>
            </w:r>
          </w:p>
        </w:tc>
        <w:tc>
          <w:tcPr>
            <w:tcW w:type="dxa" w:w="688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DOC 11-D.1 v2 — Caderno Setorial de Operação · Direção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Versão</w:t>
            </w:r>
          </w:p>
        </w:tc>
        <w:tc>
          <w:tcPr>
            <w:tcW w:type="dxa" w:w="68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2.0 — Revisão mar/2026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Bloco</w:t>
            </w:r>
          </w:p>
        </w:tc>
        <w:tc>
          <w:tcPr>
            <w:tcW w:type="dxa" w:w="688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B5 — Integração e Rastreabilidade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Pilar</w:t>
            </w:r>
          </w:p>
        </w:tc>
        <w:tc>
          <w:tcPr>
            <w:tcW w:type="dxa" w:w="68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P3 — Escala Operacional com Margem, Qualidade e Prontidão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Sponsor</w:t>
            </w:r>
          </w:p>
        </w:tc>
        <w:tc>
          <w:tcPr>
            <w:tcW w:type="dxa" w:w="688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Cláudio Ribeiro — Direção Executiva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Owner</w:t>
            </w:r>
          </w:p>
        </w:tc>
        <w:tc>
          <w:tcPr>
            <w:tcW w:type="dxa" w:w="68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COO (quando contratado) / Direção Executiva (interim)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Classificação</w:t>
            </w:r>
          </w:p>
        </w:tc>
        <w:tc>
          <w:tcPr>
            <w:tcW w:type="dxa" w:w="688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Confidencial — Uso interno da Direção</w:t>
            </w:r>
          </w:p>
        </w:tc>
      </w:tr>
    </w:tbl>
    <w:p>
      <w:r>
        <w:br w:type="page"/>
      </w:r>
    </w:p>
    <w:p>
      <w:pPr>
        <w:spacing w:before="200" w:after="200"/>
      </w:pP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Sumário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1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Diagnóstico Aplicado</w:t>
      </w:r>
      <w:r>
        <w:rPr>
          <w:rFonts w:ascii="Calibri" w:cs="Calibri" w:eastAsia="Calibri" w:hAnsi="Calibri"/>
          <w:color w:val="94A3B8"/>
          <w:sz w:val="19"/>
          <w:szCs w:val="19"/>
        </w:rPr>
        <w:ptab w:alignment="right" w:relativeTo="margin" w:leader="dot"/>
        <w:t xml:space="preserve">3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2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Pilar Institucional e Vínculo PE</w:t>
      </w:r>
      <w:r>
        <w:rPr>
          <w:rFonts w:ascii="Calibri" w:cs="Calibri" w:eastAsia="Calibri" w:hAnsi="Calibri"/>
          <w:color w:val="94A3B8"/>
          <w:sz w:val="19"/>
          <w:szCs w:val="19"/>
        </w:rPr>
        <w:ptab w:alignment="right" w:relativeTo="margin" w:leader="dot"/>
        <w:t xml:space="preserve">4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3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Objetivos Estratégicos</w:t>
      </w:r>
      <w:r>
        <w:rPr>
          <w:rFonts w:ascii="Calibri" w:cs="Calibri" w:eastAsia="Calibri" w:hAnsi="Calibri"/>
          <w:color w:val="94A3B8"/>
          <w:sz w:val="19"/>
          <w:szCs w:val="19"/>
        </w:rPr>
        <w:ptab w:alignment="right" w:relativeTo="margin" w:leader="dot"/>
        <w:t xml:space="preserve">4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4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Programas Vinculados</w:t>
      </w:r>
      <w:r>
        <w:rPr>
          <w:rFonts w:ascii="Calibri" w:cs="Calibri" w:eastAsia="Calibri" w:hAnsi="Calibri"/>
          <w:color w:val="94A3B8"/>
          <w:sz w:val="19"/>
          <w:szCs w:val="19"/>
        </w:rPr>
        <w:ptab w:alignment="right" w:relativeTo="margin" w:leader="dot"/>
        <w:t xml:space="preserve">5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5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Contratos de Resultado — OKRs e KRs</w:t>
      </w:r>
      <w:r>
        <w:rPr>
          <w:rFonts w:ascii="Calibri" w:cs="Calibri" w:eastAsia="Calibri" w:hAnsi="Calibri"/>
          <w:color w:val="94A3B8"/>
          <w:sz w:val="19"/>
          <w:szCs w:val="19"/>
        </w:rPr>
        <w:ptab w:alignment="right" w:relativeTo="margin" w:leader="dot"/>
        <w:t xml:space="preserve">5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6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Placar MBR</w:t>
      </w:r>
      <w:r>
        <w:rPr>
          <w:rFonts w:ascii="Calibri" w:cs="Calibri" w:eastAsia="Calibri" w:hAnsi="Calibri"/>
          <w:color w:val="94A3B8"/>
          <w:sz w:val="19"/>
          <w:szCs w:val="19"/>
        </w:rPr>
        <w:ptab w:alignment="right" w:relativeTo="margin" w:leader="dot"/>
        <w:t xml:space="preserve">8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7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Riscos Críticos</w:t>
      </w:r>
      <w:r>
        <w:rPr>
          <w:rFonts w:ascii="Calibri" w:cs="Calibri" w:eastAsia="Calibri" w:hAnsi="Calibri"/>
          <w:color w:val="94A3B8"/>
          <w:sz w:val="19"/>
          <w:szCs w:val="19"/>
        </w:rPr>
        <w:ptab w:alignment="right" w:relativeTo="margin" w:leader="dot"/>
        <w:t xml:space="preserve">9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8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Cadência de Governança</w:t>
      </w:r>
      <w:r>
        <w:rPr>
          <w:rFonts w:ascii="Calibri" w:cs="Calibri" w:eastAsia="Calibri" w:hAnsi="Calibri"/>
          <w:color w:val="94A3B8"/>
          <w:sz w:val="19"/>
          <w:szCs w:val="19"/>
        </w:rPr>
        <w:ptab w:alignment="right" w:relativeTo="margin" w:leader="dot"/>
        <w:t xml:space="preserve">10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9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Glossário</w:t>
      </w:r>
      <w:r>
        <w:rPr>
          <w:rFonts w:ascii="Calibri" w:cs="Calibri" w:eastAsia="Calibri" w:hAnsi="Calibri"/>
          <w:color w:val="94A3B8"/>
          <w:sz w:val="19"/>
          <w:szCs w:val="19"/>
        </w:rPr>
        <w:ptab w:alignment="right" w:relativeTo="margin" w:leader="dot"/>
        <w:t xml:space="preserve">10</w:t>
      </w:r>
    </w:p>
    <w:p>
      <w:r>
        <w:br w:type="page"/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1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Diagnóstico Aplicado</w:t>
      </w: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1.1 Base positiva 2025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3580"/>
      </w:tblGrid>
      <w:tr>
        <w:tc>
          <w:tcPr>
            <w:tcW w:type="dxa" w:w="35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Resultado 2025</w:t>
            </w:r>
          </w:p>
        </w:tc>
        <w:tc>
          <w:tcPr>
            <w:tcW w:type="dxa" w:w="358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Avaliação</w:t>
            </w:r>
          </w:p>
        </w:tc>
      </w:tr>
      <w:tr>
        <w:tc>
          <w:tcPr>
            <w:tcW w:type="dxa" w:w="3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Custo operacional / hectare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R$8,22</w:t>
            </w:r>
          </w:p>
        </w:tc>
        <w:tc>
          <w:tcPr>
            <w:tcW w:type="dxa" w:w="35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Benchmark excelente</w:t>
            </w:r>
          </w:p>
        </w:tc>
      </w:tr>
      <w:tr>
        <w:tc>
          <w:tcPr>
            <w:tcW w:type="dxa" w:w="3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Custo operacional / receita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9,4%</w:t>
            </w:r>
          </w:p>
        </w:tc>
        <w:tc>
          <w:tcPr>
            <w:tcW w:type="dxa" w:w="35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Eficiente</w:t>
            </w:r>
          </w:p>
        </w:tc>
      </w:tr>
      <w:tr>
        <w:tc>
          <w:tcPr>
            <w:tcW w:type="dxa" w:w="3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Economia vs orçamento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-R$307K (-24,2%)</w:t>
            </w:r>
          </w:p>
        </w:tc>
        <w:tc>
          <w:tcPr>
            <w:tcW w:type="dxa" w:w="35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Disciplina de custo</w:t>
            </w:r>
          </w:p>
        </w:tc>
      </w:tr>
      <w:tr>
        <w:tc>
          <w:tcPr>
            <w:tcW w:type="dxa" w:w="3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Capacidade ociosa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42,6%</w:t>
            </w:r>
          </w:p>
        </w:tc>
        <w:tc>
          <w:tcPr>
            <w:tcW w:type="dxa" w:w="35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Escalabilidade alta</w:t>
            </w:r>
          </w:p>
        </w:tc>
      </w:tr>
      <w:tr>
        <w:tc>
          <w:tcPr>
            <w:tcW w:type="dxa" w:w="3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Produtividade / colab. operacional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7.824 ha/ano</w:t>
            </w:r>
          </w:p>
        </w:tc>
        <w:tc>
          <w:tcPr>
            <w:tcW w:type="dxa" w:w="35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Acima do benchmark</w:t>
            </w:r>
          </w:p>
        </w:tc>
      </w:tr>
      <w:tr>
        <w:tc>
          <w:tcPr>
            <w:tcW w:type="dxa" w:w="3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Margem operacional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34,3%</w:t>
            </w:r>
          </w:p>
        </w:tc>
        <w:tc>
          <w:tcPr>
            <w:tcW w:type="dxa" w:w="35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Acima do piso 30%</w:t>
            </w:r>
          </w:p>
        </w:tc>
      </w:tr>
    </w:tbl>
    <w:p>
      <w:pPr>
        <w:spacing w:before="240" w:after="10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1.2 Gaps e por que 2026 amplifica o risco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580"/>
      </w:tblGrid>
      <w:tr>
        <w:tc>
          <w:tcPr>
            <w:tcW w:type="dxa" w:w="45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558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Risco se não tratado em 2026</w:t>
            </w:r>
          </w:p>
        </w:tc>
      </w:tr>
      <w:tr>
        <w:tc>
          <w:tcPr>
            <w:tcW w:type="dxa" w:w="4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Sem planejamento semanal de capacidade</w:t>
            </w:r>
          </w:p>
        </w:tc>
        <w:tc>
          <w:tcPr>
            <w:tcW w:type="dxa" w:w="55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Volume Q1 alto + alocação ad hoc = perda de SLA e custo crescente</w:t>
            </w:r>
          </w:p>
        </w:tc>
      </w:tr>
      <w:tr>
        <w:tc>
          <w:tcPr>
            <w:tcW w:type="dxa" w:w="4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Sem baseline de retrabalho</w:t>
            </w:r>
          </w:p>
        </w:tc>
        <w:tc>
          <w:tcPr>
            <w:tcW w:type="dxa" w:w="55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Impossível medir melhoria — qualidade fica subjetiva</w:t>
            </w:r>
          </w:p>
        </w:tc>
      </w:tr>
      <w:tr>
        <w:tc>
          <w:tcPr>
            <w:tcW w:type="dxa" w:w="4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Sem SLA formal</w:t>
            </w:r>
          </w:p>
        </w:tc>
        <w:tc>
          <w:tcPr>
            <w:tcW w:type="dxa" w:w="55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Contratante reclama sem parâmetro; impacta NPS e renovação</w:t>
            </w:r>
          </w:p>
        </w:tc>
      </w:tr>
      <w:tr>
        <w:tc>
          <w:tcPr>
            <w:tcW w:type="dxa" w:w="4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Sem integração Op↔CS↔Dados</w:t>
            </w:r>
          </w:p>
        </w:tc>
        <w:tc>
          <w:tcPr>
            <w:tcW w:type="dxa" w:w="55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Informação perde-se entre áreas; prova de valor incompleta</w:t>
            </w:r>
          </w:p>
        </w:tc>
      </w:tr>
      <w:tr>
        <w:tc>
          <w:tcPr>
            <w:tcW w:type="dxa" w:w="4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Direção acumula gestão operacional</w:t>
            </w:r>
          </w:p>
        </w:tc>
        <w:tc>
          <w:tcPr>
            <w:tcW w:type="dxa" w:w="55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Gargalo no Q3/Q4 quando volume e complexidade crescem</w:t>
            </w:r>
          </w:p>
        </w:tc>
      </w:tr>
      <w:tr>
        <w:tc>
          <w:tcPr>
            <w:tcW w:type="dxa" w:w="4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Saldo contratual de 88.349 ha</w:t>
            </w:r>
          </w:p>
        </w:tc>
        <w:tc>
          <w:tcPr>
            <w:tcW w:type="dxa" w:w="55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Receita contratada não executada = caixa represado + risco de cancelamento</w:t>
            </w:r>
          </w:p>
        </w:tc>
      </w:tr>
    </w:tbl>
    <w:p>
      <w:pPr>
        <w:pBdr>
          <w:left w:val="single" w:color="0C2340" w:sz="12" w:space="8"/>
        </w:pBdr>
        <w:spacing w:before="100" w:after="100" w:line="264"/>
        <w:ind w:left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Mensagem central: a Operação de 2025 entregou com eficiência, mas sem método formal. Em 2026, o volume e a exigência de qualidade auditável (sell-ready) não permitem operar sem planejamento, SLA e governança delegada.</w:t>
      </w:r>
    </w:p>
    <w:p>
      <w:r>
        <w:br w:type="page"/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2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Pilar Institucional e Vínculo PE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708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Pilar primário</w:t>
            </w:r>
          </w:p>
        </w:tc>
        <w:tc>
          <w:tcPr>
            <w:tcW w:type="dxa" w:w="70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P3 — Escala Operacional com Margem, Qualidade e Prontidão</w:t>
            </w:r>
          </w:p>
        </w:tc>
      </w:tr>
      <w:tr>
        <w:tc>
          <w:tcPr>
            <w:tcW w:type="dxa" w:w="3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Pilar secundário</w:t>
            </w:r>
          </w:p>
        </w:tc>
        <w:tc>
          <w:tcPr>
            <w:tcW w:type="dxa" w:w="70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P2 — Crescimento com Tese e Monetização da Base Contratual</w:t>
            </w:r>
          </w:p>
        </w:tc>
      </w:tr>
      <w:tr>
        <w:tc>
          <w:tcPr>
            <w:tcW w:type="dxa" w:w="3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OKR-P3</w:t>
            </w:r>
          </w:p>
        </w:tc>
        <w:tc>
          <w:tcPr>
            <w:tcW w:type="dxa" w:w="70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Sustentar execução acelerada sem perder margem nem reputação</w:t>
            </w:r>
          </w:p>
        </w:tc>
      </w:tr>
      <w:tr>
        <w:tc>
          <w:tcPr>
            <w:tcW w:type="dxa" w:w="3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OKR-P2</w:t>
            </w:r>
          </w:p>
        </w:tc>
        <w:tc>
          <w:tcPr>
            <w:tcW w:type="dxa" w:w="70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Converter base contratual em execução e caixa com previsibilidade</w:t>
            </w:r>
          </w:p>
        </w:tc>
      </w:tr>
      <w:tr>
        <w:tc>
          <w:tcPr>
            <w:tcW w:type="dxa" w:w="3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Papel da Operação</w:t>
            </w:r>
          </w:p>
        </w:tc>
        <w:tc>
          <w:tcPr>
            <w:tcW w:type="dxa" w:w="70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Braço executor de P2 (volume) e dono de P3 (qualidade/capacidade)</w:t>
            </w:r>
          </w:p>
        </w:tc>
      </w:tr>
    </w:tbl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3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Objetivos Estratégicos</w:t>
      </w:r>
    </w:p>
    <w:p>
      <w:pPr>
        <w:pBdr>
          <w:left w:val="single" w:color="37474F" w:sz="12" w:space="8"/>
        </w:pBdr>
        <w:spacing w:before="200" w:after="80"/>
      </w:pPr>
      <w:r>
        <w:rPr>
          <w:rFonts w:ascii="Calibri" w:cs="Calibri" w:eastAsia="Calibri" w:hAnsi="Calibri"/>
          <w:b/>
          <w:bCs/>
          <w:color w:val="37474F"/>
          <w:sz w:val="21"/>
          <w:szCs w:val="21"/>
        </w:rPr>
        <w:t xml:space="preserve">O1 — </w:t>
      </w:r>
      <w:r>
        <w:rPr>
          <w:rFonts w:ascii="Calibri" w:cs="Calibri" w:eastAsia="Calibri" w:hAnsi="Calibri"/>
          <w:b/>
          <w:bCs/>
          <w:color w:val="163B5C"/>
          <w:sz w:val="21"/>
          <w:szCs w:val="21"/>
        </w:rPr>
        <w:t xml:space="preserve">Capacidade previsível e planejada</w:t>
      </w:r>
    </w:p>
    <w:p>
      <w:pPr>
        <w:spacing w:before="40" w:after="60"/>
        <w:ind w:left="400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Implantar planejamento semanal de capacidade com registro, previsão 30/60/90 e gestão de backlog. Base para decisões de alocação e priorização na Sala de Situação.</w:t>
      </w:r>
    </w:p>
    <w:p>
      <w:pPr>
        <w:pBdr>
          <w:left w:val="single" w:color="00796B" w:sz="12" w:space="8"/>
        </w:pBdr>
        <w:spacing w:before="200" w:after="80"/>
      </w:pPr>
      <w:r>
        <w:rPr>
          <w:rFonts w:ascii="Calibri" w:cs="Calibri" w:eastAsia="Calibri" w:hAnsi="Calibri"/>
          <w:b/>
          <w:bCs/>
          <w:color w:val="00796B"/>
          <w:sz w:val="21"/>
          <w:szCs w:val="21"/>
        </w:rPr>
        <w:t xml:space="preserve">O2 — </w:t>
      </w:r>
      <w:r>
        <w:rPr>
          <w:rFonts w:ascii="Calibri" w:cs="Calibri" w:eastAsia="Calibri" w:hAnsi="Calibri"/>
          <w:b/>
          <w:bCs/>
          <w:color w:val="163B5C"/>
          <w:sz w:val="21"/>
          <w:szCs w:val="21"/>
        </w:rPr>
        <w:t xml:space="preserve">Qualidade auditável e retrabalho mínimo</w:t>
      </w:r>
    </w:p>
    <w:p>
      <w:pPr>
        <w:spacing w:before="40" w:after="60"/>
        <w:ind w:left="400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Definir SLA, medir aderência, fechar baseline de retrabalho e reduzir em 20%. Pré-condição para padrão sell-ready.</w:t>
      </w:r>
    </w:p>
    <w:p>
      <w:pPr>
        <w:pBdr>
          <w:left w:val="single" w:color="E64A19" w:sz="12" w:space="8"/>
        </w:pBdr>
        <w:spacing w:before="200" w:after="80"/>
      </w:pPr>
      <w:r>
        <w:rPr>
          <w:rFonts w:ascii="Calibri" w:cs="Calibri" w:eastAsia="Calibri" w:hAnsi="Calibri"/>
          <w:b/>
          <w:bCs/>
          <w:color w:val="E64A19"/>
          <w:sz w:val="21"/>
          <w:szCs w:val="21"/>
        </w:rPr>
        <w:t xml:space="preserve">O3 — </w:t>
      </w:r>
      <w:r>
        <w:rPr>
          <w:rFonts w:ascii="Calibri" w:cs="Calibri" w:eastAsia="Calibri" w:hAnsi="Calibri"/>
          <w:b/>
          <w:bCs/>
          <w:color w:val="163B5C"/>
          <w:sz w:val="21"/>
          <w:szCs w:val="21"/>
        </w:rPr>
        <w:t xml:space="preserve">Vazão acelerada para monetização da base</w:t>
      </w:r>
    </w:p>
    <w:p>
      <w:pPr>
        <w:spacing w:before="40" w:after="60"/>
        <w:ind w:left="400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Acelerar execução do saldo contratual com foco no Pareto Top-14, reduzir saldo para ≤25% e sustentar run-rate compatível com cenário base de receita.</w:t>
      </w:r>
    </w:p>
    <w:p>
      <w:pPr>
        <w:pBdr>
          <w:left w:val="single" w:color="283593" w:sz="12" w:space="8"/>
        </w:pBdr>
        <w:spacing w:before="200" w:after="80"/>
      </w:pPr>
      <w:r>
        <w:rPr>
          <w:rFonts w:ascii="Calibri" w:cs="Calibri" w:eastAsia="Calibri" w:hAnsi="Calibri"/>
          <w:b/>
          <w:bCs/>
          <w:color w:val="283593"/>
          <w:sz w:val="21"/>
          <w:szCs w:val="21"/>
        </w:rPr>
        <w:t xml:space="preserve">O4 — </w:t>
      </w:r>
      <w:r>
        <w:rPr>
          <w:rFonts w:ascii="Calibri" w:cs="Calibri" w:eastAsia="Calibri" w:hAnsi="Calibri"/>
          <w:b/>
          <w:bCs/>
          <w:color w:val="163B5C"/>
          <w:sz w:val="21"/>
          <w:szCs w:val="21"/>
        </w:rPr>
        <w:t xml:space="preserve">Integração operacional e governança com COO</w:t>
      </w:r>
    </w:p>
    <w:p>
      <w:pPr>
        <w:spacing w:before="40" w:after="60"/>
        <w:ind w:left="400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Estruturar pontos de passagem Op↔CS↔Dados, implantar onboarding do COO e formalizar governança operacional com cadência e métricas.</w:t>
      </w:r>
    </w:p>
    <w:p>
      <w:r>
        <w:br w:type="page"/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4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Programas Vinculados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400"/>
        <w:gridCol w:w="1180"/>
      </w:tblGrid>
      <w:tr>
        <w:tc>
          <w:tcPr>
            <w:tcW w:type="dxa" w:w="35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Programa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Executor primário</w:t>
            </w:r>
          </w:p>
        </w:tc>
        <w:tc>
          <w:tcPr>
            <w:tcW w:type="dxa" w:w="118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</w:t>
            </w:r>
          </w:p>
        </w:tc>
      </w:tr>
      <w:tr>
        <w:tc>
          <w:tcPr>
            <w:tcW w:type="dxa" w:w="3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OP-P1 · Capacidade e Planejamento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O1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COO / Direção (interim)</w:t>
            </w:r>
          </w:p>
        </w:tc>
        <w:tc>
          <w:tcPr>
            <w:tcW w:type="dxa" w:w="11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#37474F</w:t>
            </w:r>
          </w:p>
        </w:tc>
      </w:tr>
      <w:tr>
        <w:tc>
          <w:tcPr>
            <w:tcW w:type="dxa" w:w="3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OP-P2 · Qualidade e Padrão SLA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O2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COO</w:t>
            </w:r>
          </w:p>
        </w:tc>
        <w:tc>
          <w:tcPr>
            <w:tcW w:type="dxa" w:w="11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#00796B</w:t>
            </w:r>
          </w:p>
        </w:tc>
      </w:tr>
      <w:tr>
        <w:tc>
          <w:tcPr>
            <w:tcW w:type="dxa" w:w="3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OP-P3 · Execução e Vazão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O3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COO + Líderes de campo</w:t>
            </w:r>
          </w:p>
        </w:tc>
        <w:tc>
          <w:tcPr>
            <w:tcW w:type="dxa" w:w="11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#E64A19</w:t>
            </w:r>
          </w:p>
        </w:tc>
      </w:tr>
      <w:tr>
        <w:tc>
          <w:tcPr>
            <w:tcW w:type="dxa" w:w="3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OP-P4 · Integração e Governança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O4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COO + CS + P&amp;D</w:t>
            </w:r>
          </w:p>
        </w:tc>
        <w:tc>
          <w:tcPr>
            <w:tcW w:type="dxa" w:w="11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#283593</w:t>
            </w:r>
          </w:p>
        </w:tc>
      </w:tr>
    </w:tbl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5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Contratos de Resultado — OKRs e KRs</w:t>
      </w: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5.1 OKR-OP-1 — Capacidade previsível</w:t>
      </w:r>
    </w:p>
    <w:p>
      <w:pPr>
        <w:spacing w:before="60" w:after="6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Garantir que a operação tenha capacidade planejada semanalmente, com previsão de 30/60/90 dias e gestão ativa de backlog.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2800"/>
        <w:gridCol w:w="2280"/>
      </w:tblGrid>
      <w:tr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228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KR-OP-1.1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Planejamento semanal de capacidade operante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100% semanas registradas a partir de mar/2026</w:t>
            </w:r>
          </w:p>
        </w:tc>
        <w:tc>
          <w:tcPr>
            <w:tcW w:type="dxa" w:w="22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Mar/2026 → dez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KR-OP-1.2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Previsão 30/60/90 publicada por região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≥80% aderência previsão vs realizado</w:t>
            </w:r>
          </w:p>
        </w:tc>
        <w:tc>
          <w:tcPr>
            <w:tcW w:type="dxa" w:w="22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Abr/2026 → dez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KR-OP-1.3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Backlog de execução visível e priorizado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100% contratos com status semanal</w:t>
            </w:r>
          </w:p>
        </w:tc>
        <w:tc>
          <w:tcPr>
            <w:tcW w:type="dxa" w:w="22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Mar/2026 → dez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KR-OP-1.4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Execução Q1 ≥50.438 ha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Saldo reduzido conforme KR-P2.2</w:t>
            </w:r>
          </w:p>
        </w:tc>
        <w:tc>
          <w:tcPr>
            <w:tcW w:type="dxa" w:w="22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Mar/2026</w:t>
            </w:r>
          </w:p>
        </w:tc>
      </w:tr>
    </w:tbl>
    <w:p>
      <w:pPr>
        <w:pBdr>
          <w:left w:val="single" w:color="37474F" w:sz="12" w:space="8"/>
        </w:pBdr>
        <w:spacing w:before="100" w:after="100" w:line="264"/>
        <w:ind w:left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Vínculo corporativo: KR-P3.2 (capacidade semanal), KR-P2.1/P2.2 (execução do saldo).</w:t>
      </w: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5.2 OKR-OP-2 — Qualidade auditável</w:t>
      </w:r>
    </w:p>
    <w:p>
      <w:pPr>
        <w:spacing w:before="60" w:after="6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Implantar padrão mínimo de qualidade mensurável e reduzir retrabalho de forma estruturada.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2800"/>
        <w:gridCol w:w="2280"/>
      </w:tblGrid>
      <w:tr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228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KR-OP-2.1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Baseline de retrabalho fechado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Documento com método, número e responsável</w:t>
            </w:r>
          </w:p>
        </w:tc>
        <w:tc>
          <w:tcPr>
            <w:tcW w:type="dxa" w:w="22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Mar/2026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KR-OP-2.2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Redução de retrabalho ≥20% vs baseline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Medição mensal com evidência</w:t>
            </w:r>
          </w:p>
        </w:tc>
        <w:tc>
          <w:tcPr>
            <w:tcW w:type="dxa" w:w="22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Jun/2026 → dez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KR-OP-2.3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SLA mínimo definido e publicado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Checklist com ≥5 critérios de qualidade</w:t>
            </w:r>
          </w:p>
        </w:tc>
        <w:tc>
          <w:tcPr>
            <w:tcW w:type="dxa" w:w="22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Abr/2026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KR-OP-2.4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Aderência ao SLA ≥90%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Medição mensal por operação</w:t>
            </w:r>
          </w:p>
        </w:tc>
        <w:tc>
          <w:tcPr>
            <w:tcW w:type="dxa" w:w="22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Abr/2026 → dez</w:t>
            </w:r>
          </w:p>
        </w:tc>
      </w:tr>
    </w:tbl>
    <w:p>
      <w:pPr>
        <w:pBdr>
          <w:left w:val="single" w:color="00796B" w:sz="12" w:space="8"/>
        </w:pBdr>
        <w:spacing w:before="100" w:after="100" w:line="264"/>
        <w:ind w:left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Vínculo corporativo: KR-P3.3 (retrabalho -20%), KR-P3.4 (SLA ≥90%).</w:t>
      </w:r>
    </w:p>
    <w:p>
      <w:r>
        <w:br w:type="page"/>
      </w: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5.3 OKR-OP-3 — Vazão e monetização</w:t>
      </w:r>
    </w:p>
    <w:p>
      <w:pPr>
        <w:spacing w:before="60" w:after="6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Acelerar execução da base contratual com foco nos contratantes prioritários e run-rate sustentável.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2800"/>
        <w:gridCol w:w="2280"/>
      </w:tblGrid>
      <w:tr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228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KR-OP-3.1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Saldo contratual ≤25% do total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Redução progressiva trimestral</w:t>
            </w:r>
          </w:p>
        </w:tc>
        <w:tc>
          <w:tcPr>
            <w:tcW w:type="dxa" w:w="22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Dez/2026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KR-OP-3.2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Run-rate semanal ≥4.000 ha em Q2+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Medição semanal no Dashboard</w:t>
            </w:r>
          </w:p>
        </w:tc>
        <w:tc>
          <w:tcPr>
            <w:tcW w:type="dxa" w:w="22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Abr/2026 → dez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KR-OP-3.3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100% Pareto Top-14 com plano de execução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Plano 7/14/30 ativo por contratante</w:t>
            </w:r>
          </w:p>
        </w:tc>
        <w:tc>
          <w:tcPr>
            <w:tcW w:type="dxa" w:w="22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Mar/2026 → dez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KR-OP-3.4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Saldo "Baixa Execução" ≤25%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Redução de 42,7% para ≤25%</w:t>
            </w:r>
          </w:p>
        </w:tc>
        <w:tc>
          <w:tcPr>
            <w:tcW w:type="dxa" w:w="22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Jun/2026</w:t>
            </w:r>
          </w:p>
        </w:tc>
      </w:tr>
    </w:tbl>
    <w:p>
      <w:pPr>
        <w:pBdr>
          <w:left w:val="single" w:color="E64A19" w:sz="12" w:space="8"/>
        </w:pBdr>
        <w:spacing w:before="100" w:after="100" w:line="264"/>
        <w:ind w:left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Vínculo corporativo: KR-P2.1/P2.2 (saldo), KR-P2.4 (baixa execução), KR-P2.5 (ativação Pareto).</w:t>
      </w: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5.4 OKR-OP-4 — Integração e governança</w:t>
      </w:r>
    </w:p>
    <w:p>
      <w:pPr>
        <w:spacing w:before="60" w:after="6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Estruturar a integração formal entre Operação, CS e Dados, e implantar governança operacional com o COO.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2600"/>
        <w:gridCol w:w="2680"/>
      </w:tblGrid>
      <w:tr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</w:t>
            </w:r>
          </w:p>
        </w:tc>
        <w:tc>
          <w:tcPr>
            <w:tcW w:type="dxa" w:w="36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6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268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KR-OP-4.1</w:t>
            </w:r>
          </w:p>
        </w:tc>
        <w:tc>
          <w:tcPr>
            <w:tcW w:type="dxa" w:w="36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Pontos de passagem Op↔CS↔Dados definidos</w:t>
            </w:r>
          </w:p>
        </w:tc>
        <w:tc>
          <w:tcPr>
            <w:tcW w:type="dxa" w:w="26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100% fluxos mapeados com dono e SLA</w:t>
            </w:r>
          </w:p>
        </w:tc>
        <w:tc>
          <w:tcPr>
            <w:tcW w:type="dxa" w:w="2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Abr/2026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KR-OP-4.2</w:t>
            </w:r>
          </w:p>
        </w:tc>
        <w:tc>
          <w:tcPr>
            <w:tcW w:type="dxa" w:w="36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COO contratado e em operação</w:t>
            </w:r>
          </w:p>
        </w:tc>
        <w:tc>
          <w:tcPr>
            <w:tcW w:type="dxa" w:w="26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Plano 90 dias executado ≥70%</w:t>
            </w:r>
          </w:p>
        </w:tc>
        <w:tc>
          <w:tcPr>
            <w:tcW w:type="dxa" w:w="2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Jun/2026 (contratação) + Set/2026 (90d)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KR-OP-4.3</w:t>
            </w:r>
          </w:p>
        </w:tc>
        <w:tc>
          <w:tcPr>
            <w:tcW w:type="dxa" w:w="36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Custo/ha ≤R$9,00 anual</w:t>
            </w:r>
          </w:p>
        </w:tc>
        <w:tc>
          <w:tcPr>
            <w:tcW w:type="dxa" w:w="26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Apuração mensal no MBR</w:t>
            </w:r>
          </w:p>
        </w:tc>
        <w:tc>
          <w:tcPr>
            <w:tcW w:type="dxa" w:w="2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Dez/2026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KR-OP-4.4</w:t>
            </w:r>
          </w:p>
        </w:tc>
        <w:tc>
          <w:tcPr>
            <w:tcW w:type="dxa" w:w="36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Margem operacional ≥30%</w:t>
            </w:r>
          </w:p>
        </w:tc>
        <w:tc>
          <w:tcPr>
            <w:tcW w:type="dxa" w:w="26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Guardrail — leitura mensal MBR</w:t>
            </w:r>
          </w:p>
        </w:tc>
        <w:tc>
          <w:tcPr>
            <w:tcW w:type="dxa" w:w="2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Anual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KR-OP-4.5</w:t>
            </w:r>
          </w:p>
        </w:tc>
        <w:tc>
          <w:tcPr>
            <w:tcW w:type="dxa" w:w="36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Coleta padronizada de dados em campo</w:t>
            </w:r>
          </w:p>
        </w:tc>
        <w:tc>
          <w:tcPr>
            <w:tcW w:type="dxa" w:w="26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≥80% operações com dados completos para P&amp;D</w:t>
            </w:r>
          </w:p>
        </w:tc>
        <w:tc>
          <w:tcPr>
            <w:tcW w:type="dxa" w:w="2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Jun/2026 → dez</w:t>
            </w:r>
          </w:p>
        </w:tc>
      </w:tr>
    </w:tbl>
    <w:p>
      <w:pPr>
        <w:pBdr>
          <w:left w:val="single" w:color="283593" w:sz="12" w:space="8"/>
        </w:pBdr>
        <w:spacing w:before="100" w:after="100" w:line="264"/>
        <w:ind w:left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Vínculo corporativo: KR-P3.5 (integração), KR-P5.4 (posições-chave), KR-P3.1 (margem).</w:t>
      </w:r>
    </w:p>
    <w:p>
      <w:r>
        <w:br w:type="page"/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6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Placar MBR</w:t>
      </w:r>
    </w:p>
    <w:tbl>
      <w:tblPr>
        <w:tblW w:type="dxa" w:w="8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800"/>
        <w:gridCol w:w="1200"/>
        <w:gridCol w:w="680"/>
        <w:gridCol w:w="680"/>
        <w:gridCol w:w="680"/>
        <w:gridCol w:w="680"/>
        <w:gridCol w:w="680"/>
        <w:gridCol w:w="680"/>
      </w:tblGrid>
      <w:tr>
        <w:tc>
          <w:tcPr>
            <w:tcW w:type="dxa" w:w="11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68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Jan</w:t>
            </w:r>
          </w:p>
        </w:tc>
        <w:tc>
          <w:tcPr>
            <w:tcW w:type="dxa" w:w="68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Fev</w:t>
            </w:r>
          </w:p>
        </w:tc>
        <w:tc>
          <w:tcPr>
            <w:tcW w:type="dxa" w:w="68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Mar</w:t>
            </w:r>
          </w:p>
        </w:tc>
        <w:tc>
          <w:tcPr>
            <w:tcW w:type="dxa" w:w="68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Abr</w:t>
            </w:r>
          </w:p>
        </w:tc>
        <w:tc>
          <w:tcPr>
            <w:tcW w:type="dxa" w:w="68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Mai</w:t>
            </w:r>
          </w:p>
        </w:tc>
        <w:tc>
          <w:tcPr>
            <w:tcW w:type="dxa" w:w="68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Jun</w:t>
            </w:r>
          </w:p>
        </w:tc>
      </w:tr>
      <w:tr>
        <w:tc>
          <w:tcPr>
            <w:tcW w:type="dxa" w:w="11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OP-1.1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Planejamento semanal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100%</w:t>
            </w:r>
          </w:p>
        </w:tc>
        <w:tc>
          <w:tcPr>
            <w:tcW w:type="dxa" w:w="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🟢</w:t>
            </w:r>
          </w:p>
        </w:tc>
        <w:tc>
          <w:tcPr>
            <w:tcW w:type="dxa" w:w="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🟢</w:t>
            </w:r>
          </w:p>
        </w:tc>
        <w:tc>
          <w:tcPr>
            <w:tcW w:type="dxa" w:w="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🟢</w:t>
            </w:r>
          </w:p>
        </w:tc>
        <w:tc>
          <w:tcPr>
            <w:tcW w:type="dxa" w:w="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🟢</w:t>
            </w:r>
          </w:p>
        </w:tc>
      </w:tr>
      <w:tr>
        <w:tc>
          <w:tcPr>
            <w:tcW w:type="dxa" w:w="11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OP-1.4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Hectares Q1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50.438 ha</w:t>
            </w:r>
          </w:p>
        </w:tc>
        <w:tc>
          <w:tcPr>
            <w:tcW w:type="dxa" w:w="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📊</w:t>
            </w:r>
          </w:p>
        </w:tc>
        <w:tc>
          <w:tcPr>
            <w:tcW w:type="dxa" w:w="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OP-2.1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Baseline retrabalho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Fechado</w:t>
            </w:r>
          </w:p>
        </w:tc>
        <w:tc>
          <w:tcPr>
            <w:tcW w:type="dxa" w:w="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📊</w:t>
            </w:r>
          </w:p>
        </w:tc>
        <w:tc>
          <w:tcPr>
            <w:tcW w:type="dxa" w:w="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OP-2.4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SLA aderência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≥90%</w:t>
            </w:r>
          </w:p>
        </w:tc>
        <w:tc>
          <w:tcPr>
            <w:tcW w:type="dxa" w:w="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📊</w:t>
            </w:r>
          </w:p>
        </w:tc>
        <w:tc>
          <w:tcPr>
            <w:tcW w:type="dxa" w:w="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📊</w:t>
            </w:r>
          </w:p>
        </w:tc>
        <w:tc>
          <w:tcPr>
            <w:tcW w:type="dxa" w:w="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📊</w:t>
            </w:r>
          </w:p>
        </w:tc>
      </w:tr>
      <w:tr>
        <w:tc>
          <w:tcPr>
            <w:tcW w:type="dxa" w:w="11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OP-3.1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Saldo contratual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≤25%</w:t>
            </w:r>
          </w:p>
        </w:tc>
        <w:tc>
          <w:tcPr>
            <w:tcW w:type="dxa" w:w="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📊</w:t>
            </w:r>
          </w:p>
        </w:tc>
        <w:tc>
          <w:tcPr>
            <w:tcW w:type="dxa" w:w="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📊</w:t>
            </w:r>
          </w:p>
        </w:tc>
        <w:tc>
          <w:tcPr>
            <w:tcW w:type="dxa" w:w="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📊</w:t>
            </w:r>
          </w:p>
        </w:tc>
        <w:tc>
          <w:tcPr>
            <w:tcW w:type="dxa" w:w="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📊</w:t>
            </w:r>
          </w:p>
        </w:tc>
      </w:tr>
      <w:tr>
        <w:tc>
          <w:tcPr>
            <w:tcW w:type="dxa" w:w="11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OP-3.2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Run-rate semanal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≥4.000 ha</w:t>
            </w:r>
          </w:p>
        </w:tc>
        <w:tc>
          <w:tcPr>
            <w:tcW w:type="dxa" w:w="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📊</w:t>
            </w:r>
          </w:p>
        </w:tc>
        <w:tc>
          <w:tcPr>
            <w:tcW w:type="dxa" w:w="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📊</w:t>
            </w:r>
          </w:p>
        </w:tc>
        <w:tc>
          <w:tcPr>
            <w:tcW w:type="dxa" w:w="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📊</w:t>
            </w:r>
          </w:p>
        </w:tc>
        <w:tc>
          <w:tcPr>
            <w:tcW w:type="dxa" w:w="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📊</w:t>
            </w:r>
          </w:p>
        </w:tc>
      </w:tr>
      <w:tr>
        <w:tc>
          <w:tcPr>
            <w:tcW w:type="dxa" w:w="11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OP-4.1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Pontos passagem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100%</w:t>
            </w:r>
          </w:p>
        </w:tc>
        <w:tc>
          <w:tcPr>
            <w:tcW w:type="dxa" w:w="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📊</w:t>
            </w:r>
          </w:p>
        </w:tc>
        <w:tc>
          <w:tcPr>
            <w:tcW w:type="dxa" w:w="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OP-4.2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COO contratado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Sim</w:t>
            </w:r>
          </w:p>
        </w:tc>
        <w:tc>
          <w:tcPr>
            <w:tcW w:type="dxa" w:w="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📊</w:t>
            </w:r>
          </w:p>
        </w:tc>
      </w:tr>
      <w:tr>
        <w:tc>
          <w:tcPr>
            <w:tcW w:type="dxa" w:w="11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OP-4.3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Custo/ha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≤R$9,00</w:t>
            </w:r>
          </w:p>
        </w:tc>
        <w:tc>
          <w:tcPr>
            <w:tcW w:type="dxa" w:w="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📊</w:t>
            </w:r>
          </w:p>
        </w:tc>
        <w:tc>
          <w:tcPr>
            <w:tcW w:type="dxa" w:w="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📊</w:t>
            </w:r>
          </w:p>
        </w:tc>
        <w:tc>
          <w:tcPr>
            <w:tcW w:type="dxa" w:w="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📊</w:t>
            </w:r>
          </w:p>
        </w:tc>
        <w:tc>
          <w:tcPr>
            <w:tcW w:type="dxa" w:w="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📊</w:t>
            </w:r>
          </w:p>
        </w:tc>
        <w:tc>
          <w:tcPr>
            <w:tcW w:type="dxa" w:w="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📊</w:t>
            </w:r>
          </w:p>
        </w:tc>
      </w:tr>
    </w:tbl>
    <w:p>
      <w:pPr>
        <w:pBdr>
          <w:left w:val="single" w:color="B8860B" w:sz="12" w:space="8"/>
        </w:pBdr>
        <w:spacing w:before="100" w:after="100" w:line="264"/>
        <w:ind w:left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Legenda: 🟢 Ativo | 📊 Leitura prevista | — Não aplicável no período. Placar atualizado no MBR pelo COO (quando contratado) ou Direção (interim).</w:t>
      </w:r>
    </w:p>
    <w:p>
      <w:r>
        <w:br w:type="page"/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7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Riscos Críticos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400"/>
        <w:gridCol w:w="3000"/>
        <w:gridCol w:w="2380"/>
      </w:tblGrid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dxa" w:w="11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Probabilidade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Mitigação</w:t>
            </w:r>
          </w:p>
        </w:tc>
        <w:tc>
          <w:tcPr>
            <w:tcW w:type="dxa" w:w="238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Dono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COO não contratado até jun/2026</w:t>
            </w:r>
          </w:p>
        </w:tc>
        <w:tc>
          <w:tcPr>
            <w:tcW w:type="dxa" w:w="11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Média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Alto — Direção mantém acúmulo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Pipeline RH ativo; headhunter se necessário até abr</w:t>
            </w:r>
          </w:p>
        </w:tc>
        <w:tc>
          <w:tcPr>
            <w:tcW w:type="dxa" w:w="23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RH + Direção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Volume Q1 abaixo do KR-P2.1</w:t>
            </w:r>
          </w:p>
        </w:tc>
        <w:tc>
          <w:tcPr>
            <w:tcW w:type="dxa" w:w="11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Média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Alto — saldo cresce, receita atrasa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Sala de Situação semanal + plano por contratante</w:t>
            </w:r>
          </w:p>
        </w:tc>
        <w:tc>
          <w:tcPr>
            <w:tcW w:type="dxa" w:w="23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Direção → COO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Retrabalho sem baseline até mar</w:t>
            </w:r>
          </w:p>
        </w:tc>
        <w:tc>
          <w:tcPr>
            <w:tcW w:type="dxa" w:w="11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Baixa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Médio — impossível medir melhoria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Método simplificado: registro por operação a partir de fev</w:t>
            </w:r>
          </w:p>
        </w:tc>
        <w:tc>
          <w:tcPr>
            <w:tcW w:type="dxa" w:w="23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Direção → COO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Parada não programada de frota (&gt;2/mês)</w:t>
            </w:r>
          </w:p>
        </w:tc>
        <w:tc>
          <w:tcPr>
            <w:tcW w:type="dxa" w:w="11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Baixa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Médio — impacta SLA e custo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Manutenção preventiva mensal + estoque mínimo peças</w:t>
            </w:r>
          </w:p>
        </w:tc>
        <w:tc>
          <w:tcPr>
            <w:tcW w:type="dxa" w:w="23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Líder de campo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Resolução SES/MG não renovada</w:t>
            </w:r>
          </w:p>
        </w:tc>
        <w:tc>
          <w:tcPr>
            <w:tcW w:type="dxa" w:w="11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Média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Alto — impacta modelo de negócio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RSK-01 em DOC 10; cenário contingência ativo</w:t>
            </w:r>
          </w:p>
        </w:tc>
        <w:tc>
          <w:tcPr>
            <w:tcW w:type="dxa" w:w="23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Direção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Turnover operacional &gt;35%</w:t>
            </w:r>
          </w:p>
        </w:tc>
        <w:tc>
          <w:tcPr>
            <w:tcW w:type="dxa" w:w="11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Média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Alto — perda de capacidade treinada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Programa Reconhece (RH) + remuneração variável</w:t>
            </w:r>
          </w:p>
        </w:tc>
        <w:tc>
          <w:tcPr>
            <w:tcW w:type="dxa" w:w="23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COO + RH</w:t>
            </w:r>
          </w:p>
        </w:tc>
      </w:tr>
    </w:tbl>
    <w:p>
      <w:r>
        <w:br w:type="page"/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8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Cadência de Governança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400"/>
        <w:gridCol w:w="4280"/>
      </w:tblGrid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Rito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Frequência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Participantes</w:t>
            </w:r>
          </w:p>
        </w:tc>
        <w:tc>
          <w:tcPr>
            <w:tcW w:type="dxa" w:w="428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Pauta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Standup operacional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Diário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Líderes de campo</w:t>
            </w:r>
          </w:p>
        </w:tc>
        <w:tc>
          <w:tcPr>
            <w:tcW w:type="dxa" w:w="42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Status do dia, impedimentos imediatos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WBR Operação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Semanal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COO + campo + CS</w:t>
            </w:r>
          </w:p>
        </w:tc>
        <w:tc>
          <w:tcPr>
            <w:tcW w:type="dxa" w:w="42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Vazão, alocação, semáforos, próxima semana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MBR Operação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COO + Direção + Fin</w:t>
            </w:r>
          </w:p>
        </w:tc>
        <w:tc>
          <w:tcPr>
            <w:tcW w:type="dxa" w:w="42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Placar, custo/ha, SLA, retrabalho, desvios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QBR Operação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Trimestral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Direção + COO + CS + COM</w:t>
            </w:r>
          </w:p>
        </w:tc>
        <w:tc>
          <w:tcPr>
            <w:tcW w:type="dxa" w:w="42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Capacidade vs demanda, cenários, envelope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Sala de Situação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Semanal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Direção + CS + Op</w:t>
            </w:r>
          </w:p>
        </w:tc>
        <w:tc>
          <w:tcPr>
            <w:tcW w:type="dxa" w:w="42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Priorização Top-14, saldo, previsão</w:t>
            </w:r>
          </w:p>
        </w:tc>
      </w:tr>
    </w:tbl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9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Glossário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Termo</w:t>
            </w:r>
          </w:p>
        </w:tc>
        <w:tc>
          <w:tcPr>
            <w:tcW w:type="dxa" w:w="758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2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OKR</w:t>
            </w:r>
          </w:p>
        </w:tc>
        <w:tc>
          <w:tcPr>
            <w:tcW w:type="dxa" w:w="75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Objective and Key Result — objetivo com resultados mensuráveis</w:t>
            </w:r>
          </w:p>
        </w:tc>
      </w:tr>
      <w:tr>
        <w:tc>
          <w:tcPr>
            <w:tcW w:type="dxa" w:w="2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KR</w:t>
            </w:r>
          </w:p>
        </w:tc>
        <w:tc>
          <w:tcPr>
            <w:tcW w:type="dxa" w:w="75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Key Result — resultado-chave verificável</w:t>
            </w:r>
          </w:p>
        </w:tc>
      </w:tr>
      <w:tr>
        <w:tc>
          <w:tcPr>
            <w:tcW w:type="dxa" w:w="2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SLA</w:t>
            </w:r>
          </w:p>
        </w:tc>
        <w:tc>
          <w:tcPr>
            <w:tcW w:type="dxa" w:w="75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Service Level Agreement — padrão de qualidade</w:t>
            </w:r>
          </w:p>
        </w:tc>
      </w:tr>
      <w:tr>
        <w:tc>
          <w:tcPr>
            <w:tcW w:type="dxa" w:w="2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Run-rate</w:t>
            </w:r>
          </w:p>
        </w:tc>
        <w:tc>
          <w:tcPr>
            <w:tcW w:type="dxa" w:w="75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Vazão de execução por período</w:t>
            </w:r>
          </w:p>
        </w:tc>
      </w:tr>
      <w:tr>
        <w:tc>
          <w:tcPr>
            <w:tcW w:type="dxa" w:w="2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Baseline</w:t>
            </w:r>
          </w:p>
        </w:tc>
        <w:tc>
          <w:tcPr>
            <w:tcW w:type="dxa" w:w="75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Linha de referência para medir melhoria</w:t>
            </w:r>
          </w:p>
        </w:tc>
      </w:tr>
      <w:tr>
        <w:tc>
          <w:tcPr>
            <w:tcW w:type="dxa" w:w="2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Sala de Situação</w:t>
            </w:r>
          </w:p>
        </w:tc>
        <w:tc>
          <w:tcPr>
            <w:tcW w:type="dxa" w:w="75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War room semanal de priorização P2</w:t>
            </w:r>
          </w:p>
        </w:tc>
      </w:tr>
      <w:tr>
        <w:tc>
          <w:tcPr>
            <w:tcW w:type="dxa" w:w="2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Pareto Top-14</w:t>
            </w:r>
          </w:p>
        </w:tc>
        <w:tc>
          <w:tcPr>
            <w:tcW w:type="dxa" w:w="75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14 contratantes que concentram maior saldo</w:t>
            </w:r>
          </w:p>
        </w:tc>
      </w:tr>
      <w:tr>
        <w:tc>
          <w:tcPr>
            <w:tcW w:type="dxa" w:w="2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Ponto de passagem</w:t>
            </w:r>
          </w:p>
        </w:tc>
        <w:tc>
          <w:tcPr>
            <w:tcW w:type="dxa" w:w="75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Handoff formal entre áreas</w:t>
            </w:r>
          </w:p>
        </w:tc>
      </w:tr>
      <w:tr>
        <w:tc>
          <w:tcPr>
            <w:tcW w:type="dxa" w:w="2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MBR/QBR</w:t>
            </w:r>
          </w:p>
        </w:tc>
        <w:tc>
          <w:tcPr>
            <w:tcW w:type="dxa" w:w="75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Revisão mensal / trimestral de negócio</w:t>
            </w:r>
          </w:p>
        </w:tc>
      </w:tr>
    </w:tbl>
    <w:p>
      <w:pPr>
        <w:pBdr>
          <w:top w:val="single" w:color="94A3B8" w:sz="4" w:space="8"/>
        </w:pBdr>
        <w:spacing w:before="400"/>
      </w:pPr>
      <w:r>
        <w:rPr>
          <w:rFonts w:ascii="Calibri" w:cs="Calibri" w:eastAsia="Calibri" w:hAnsi="Calibri"/>
          <w:i/>
          <w:iCs/>
          <w:color w:val="94A3B8"/>
          <w:sz w:val="16"/>
          <w:szCs w:val="16"/>
        </w:rPr>
        <w:t xml:space="preserve">DOC 11-D.1 v2 — Caderno Setorial Operação · Direção — Revisão mar/2026 — Bloco B5</w:t>
      </w:r>
    </w:p>
    <w:p>
      <w:r>
        <w:rPr>
          <w:rFonts w:ascii="Calibri" w:cs="Calibri" w:eastAsia="Calibri" w:hAnsi="Calibri"/>
          <w:i/>
          <w:iCs/>
          <w:color w:val="94A3B8"/>
          <w:sz w:val="16"/>
          <w:szCs w:val="16"/>
        </w:rPr>
        <w:t xml:space="preserve">Aero Engenharia + Techdengue · Confidencial — Uso Interno da Direção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94A3B8"/>
        <w:sz w:val="14"/>
        <w:szCs w:val="14"/>
      </w:rPr>
      <w:t xml:space="preserve">Confidencial — Uso interno da Direção</w:t>
    </w:r>
    <w:r>
      <w:rPr>
        <w:sz w:val="14"/>
        <w:szCs w:val="14"/>
      </w:rPr>
      <w:t xml:space="preserve">	</w:t>
    </w:r>
    <w:r>
      <w:rPr>
        <w:rFonts w:ascii="Calibri" w:cs="Calibri" w:eastAsia="Calibri" w:hAnsi="Calibri"/>
        <w:color w:val="94A3B8"/>
        <w:sz w:val="14"/>
        <w:szCs w:val="14"/>
      </w:rPr>
      <w:t xml:space="preserve">Página </w:t>
    </w:r>
    <w:r>
      <w:rPr>
        <w:rFonts w:ascii="Calibri" w:cs="Calibri" w:eastAsia="Calibri" w:hAnsi="Calibri"/>
        <w:color w:val="94A3B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980B9" w:sz="2" w:space="4"/>
      </w:pBdr>
    </w:pPr>
    <w:r>
      <w:rPr>
        <w:rFonts w:ascii="Calibri" w:cs="Calibri" w:eastAsia="Calibri" w:hAnsi="Calibri"/>
        <w:b/>
        <w:bCs/>
        <w:color w:val="2980B9"/>
        <w:sz w:val="16"/>
        <w:szCs w:val="16"/>
      </w:rPr>
      <w:t xml:space="preserve">PE 2026</w:t>
    </w:r>
    <w:r>
      <w:rPr>
        <w:rFonts w:ascii="Calibri" w:cs="Calibri" w:eastAsia="Calibri" w:hAnsi="Calibri"/>
        <w:color w:val="94A3B8"/>
        <w:sz w:val="16"/>
        <w:szCs w:val="16"/>
      </w:rPr>
      <w:t xml:space="preserve">  |  Caderno Operação · Direção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2026-03-16T14:50:09.006Z</dcterms:created>
  <dcterms:modified xsi:type="dcterms:W3CDTF">2026-03-16T14:50:09.007Z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