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pBdr>
          <w:bottom w:val="single" w:color="2980B9" w:sz="18" w:space="6"/>
        </w:pBdr>
      </w:pPr>
      <w:r>
        <w:rPr>
          <w:sz w:val="4"/>
          <w:szCs w:val="4"/>
        </w:rPr>
        <w:t xml:space="preserve"> </w:t>
      </w:r>
    </w:p>
    <w:p>
      <w:pPr>
        <w:spacing w:before="300" w:after="60"/>
      </w:pPr>
      <w:r>
        <w:rPr>
          <w:rFonts w:ascii="Calibri Light" w:cs="Calibri Light" w:eastAsia="Calibri Light" w:hAnsi="Calibri Light"/>
          <w:color w:val="94A3B8"/>
          <w:sz w:val="20"/>
          <w:szCs w:val="20"/>
        </w:rPr>
        <w:t xml:space="preserve">PE 2026</w:t>
      </w:r>
    </w:p>
    <w:p>
      <w:pPr>
        <w:spacing w:before="60" w:after="80"/>
      </w:pPr>
      <w:r>
        <w:rPr>
          <w:rFonts w:ascii="Calibri Light" w:cs="Calibri Light" w:eastAsia="Calibri Light" w:hAnsi="Calibri Light"/>
          <w:color w:val="0C2340"/>
          <w:sz w:val="44"/>
          <w:szCs w:val="44"/>
        </w:rPr>
        <w:t xml:space="preserve">Caderno Setorial — Operação · Execução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Programas · Iniciativas · Cartões Didáticos · Plano 90 Dias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Documento</w:t>
            </w:r>
          </w:p>
        </w:tc>
        <w:tc>
          <w:tcPr>
            <w:tcW w:type="dxa" w:w="688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DOC 11-D.2 v2 — Caderno Setorial de Operação · Execução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Versão</w:t>
            </w:r>
          </w:p>
        </w:tc>
        <w:tc>
          <w:tcPr>
            <w:tcW w:type="dxa" w:w="68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2.0 — Revisão mar/2026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Bloco</w:t>
            </w:r>
          </w:p>
        </w:tc>
        <w:tc>
          <w:tcPr>
            <w:tcW w:type="dxa" w:w="688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B5 — Integração e Rastreabilidade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Princípio central</w:t>
            </w:r>
          </w:p>
        </w:tc>
        <w:tc>
          <w:tcPr>
            <w:tcW w:type="dxa" w:w="68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Executar com método, qualidade e velocidade — sem qualidade, velocidade vira retrabalho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Sponsor</w:t>
            </w:r>
          </w:p>
        </w:tc>
        <w:tc>
          <w:tcPr>
            <w:tcW w:type="dxa" w:w="688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Cláudio Ribeiro — Direção Executiva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Owner</w:t>
            </w:r>
          </w:p>
        </w:tc>
        <w:tc>
          <w:tcPr>
            <w:tcW w:type="dxa" w:w="68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COO (quando contratado) / Direção Executiva (interim)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Classificação</w:t>
            </w:r>
          </w:p>
        </w:tc>
        <w:tc>
          <w:tcPr>
            <w:tcW w:type="dxa" w:w="688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Confidencial — Uso interno da Direção</w:t>
            </w:r>
          </w:p>
        </w:tc>
      </w:tr>
    </w:tbl>
    <w:p>
      <w:r>
        <w:br w:type="page"/>
      </w:r>
    </w:p>
    <w:p>
      <w:pPr>
        <w:spacing w:before="200" w:after="200"/>
      </w:pP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Sumário</w:t>
      </w:r>
    </w:p>
    <w:p>
      <w:pPr>
        <w:spacing w:before="40" w:after="40"/>
      </w:pPr>
      <w:r>
        <w:rPr>
          <w:rFonts w:ascii="Calibri" w:cs="Calibri" w:eastAsia="Calibri" w:hAnsi="Calibri"/>
          <w:b/>
          <w:bCs/>
          <w:color w:val="2980B9"/>
          <w:sz w:val="19"/>
          <w:szCs w:val="19"/>
        </w:rPr>
        <w:t xml:space="preserve">1 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Princípios de Execução</w:t>
      </w:r>
      <w:r>
        <w:rPr>
          <w:rFonts w:ascii="Calibri" w:cs="Calibri" w:eastAsia="Calibri" w:hAnsi="Calibri"/>
          <w:color w:val="94A3B8"/>
          <w:sz w:val="19"/>
          <w:szCs w:val="19"/>
        </w:rPr>
        <w:ptab w:alignment="right" w:relativeTo="margin" w:leader="dot"/>
        <w:t xml:space="preserve">3</w:t>
      </w:r>
    </w:p>
    <w:p>
      <w:pPr>
        <w:spacing w:before="40" w:after="40"/>
      </w:pPr>
      <w:r>
        <w:rPr>
          <w:rFonts w:ascii="Calibri" w:cs="Calibri" w:eastAsia="Calibri" w:hAnsi="Calibri"/>
          <w:b/>
          <w:bCs/>
          <w:color w:val="2980B9"/>
          <w:sz w:val="19"/>
          <w:szCs w:val="19"/>
        </w:rPr>
        <w:t xml:space="preserve">2 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Mapa de Execução Consolidado</w:t>
      </w:r>
      <w:r>
        <w:rPr>
          <w:rFonts w:ascii="Calibri" w:cs="Calibri" w:eastAsia="Calibri" w:hAnsi="Calibri"/>
          <w:color w:val="94A3B8"/>
          <w:sz w:val="19"/>
          <w:szCs w:val="19"/>
        </w:rPr>
        <w:ptab w:alignment="right" w:relativeTo="margin" w:leader="dot"/>
        <w:t xml:space="preserve">3</w:t>
      </w:r>
    </w:p>
    <w:p>
      <w:pPr>
        <w:spacing w:before="40" w:after="40"/>
      </w:pPr>
      <w:r>
        <w:rPr>
          <w:rFonts w:ascii="Calibri" w:cs="Calibri" w:eastAsia="Calibri" w:hAnsi="Calibri"/>
          <w:b/>
          <w:bCs/>
          <w:color w:val="2980B9"/>
          <w:sz w:val="19"/>
          <w:szCs w:val="19"/>
        </w:rPr>
        <w:t xml:space="preserve">3 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OP-P1 · Capacidade e Planejamento</w:t>
      </w:r>
      <w:r>
        <w:rPr>
          <w:rFonts w:ascii="Calibri" w:cs="Calibri" w:eastAsia="Calibri" w:hAnsi="Calibri"/>
          <w:color w:val="94A3B8"/>
          <w:sz w:val="19"/>
          <w:szCs w:val="19"/>
        </w:rPr>
        <w:ptab w:alignment="right" w:relativeTo="margin" w:leader="dot"/>
        <w:t xml:space="preserve">4</w:t>
      </w:r>
    </w:p>
    <w:p>
      <w:pPr>
        <w:spacing w:before="40" w:after="40"/>
      </w:pPr>
      <w:r>
        <w:rPr>
          <w:rFonts w:ascii="Calibri" w:cs="Calibri" w:eastAsia="Calibri" w:hAnsi="Calibri"/>
          <w:b/>
          <w:bCs/>
          <w:color w:val="2980B9"/>
          <w:sz w:val="19"/>
          <w:szCs w:val="19"/>
        </w:rPr>
        <w:t xml:space="preserve">4 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OP-P2 · Qualidade e Padrão SLA</w:t>
      </w:r>
      <w:r>
        <w:rPr>
          <w:rFonts w:ascii="Calibri" w:cs="Calibri" w:eastAsia="Calibri" w:hAnsi="Calibri"/>
          <w:color w:val="94A3B8"/>
          <w:sz w:val="19"/>
          <w:szCs w:val="19"/>
        </w:rPr>
        <w:ptab w:alignment="right" w:relativeTo="margin" w:leader="dot"/>
        <w:t xml:space="preserve">6</w:t>
      </w:r>
    </w:p>
    <w:p>
      <w:pPr>
        <w:spacing w:before="40" w:after="40"/>
      </w:pPr>
      <w:r>
        <w:rPr>
          <w:rFonts w:ascii="Calibri" w:cs="Calibri" w:eastAsia="Calibri" w:hAnsi="Calibri"/>
          <w:b/>
          <w:bCs/>
          <w:color w:val="2980B9"/>
          <w:sz w:val="19"/>
          <w:szCs w:val="19"/>
        </w:rPr>
        <w:t xml:space="preserve">5 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OP-P3 · Execução e Vazão</w:t>
      </w:r>
      <w:r>
        <w:rPr>
          <w:rFonts w:ascii="Calibri" w:cs="Calibri" w:eastAsia="Calibri" w:hAnsi="Calibri"/>
          <w:color w:val="94A3B8"/>
          <w:sz w:val="19"/>
          <w:szCs w:val="19"/>
        </w:rPr>
        <w:ptab w:alignment="right" w:relativeTo="margin" w:leader="dot"/>
        <w:t xml:space="preserve">8</w:t>
      </w:r>
    </w:p>
    <w:p>
      <w:pPr>
        <w:spacing w:before="40" w:after="40"/>
      </w:pPr>
      <w:r>
        <w:rPr>
          <w:rFonts w:ascii="Calibri" w:cs="Calibri" w:eastAsia="Calibri" w:hAnsi="Calibri"/>
          <w:b/>
          <w:bCs/>
          <w:color w:val="2980B9"/>
          <w:sz w:val="19"/>
          <w:szCs w:val="19"/>
        </w:rPr>
        <w:t xml:space="preserve">6 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OP-P4 · Integração e Governança</w:t>
      </w:r>
      <w:r>
        <w:rPr>
          <w:rFonts w:ascii="Calibri" w:cs="Calibri" w:eastAsia="Calibri" w:hAnsi="Calibri"/>
          <w:color w:val="94A3B8"/>
          <w:sz w:val="19"/>
          <w:szCs w:val="19"/>
        </w:rPr>
        <w:ptab w:alignment="right" w:relativeTo="margin" w:leader="dot"/>
        <w:t xml:space="preserve">10</w:t>
      </w:r>
    </w:p>
    <w:p>
      <w:pPr>
        <w:spacing w:before="40" w:after="40"/>
      </w:pPr>
      <w:r>
        <w:rPr>
          <w:rFonts w:ascii="Calibri" w:cs="Calibri" w:eastAsia="Calibri" w:hAnsi="Calibri"/>
          <w:b/>
          <w:bCs/>
          <w:color w:val="2980B9"/>
          <w:sz w:val="19"/>
          <w:szCs w:val="19"/>
        </w:rPr>
        <w:t xml:space="preserve">7 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Plano de 90 Dias</w:t>
      </w:r>
      <w:r>
        <w:rPr>
          <w:rFonts w:ascii="Calibri" w:cs="Calibri" w:eastAsia="Calibri" w:hAnsi="Calibri"/>
          <w:color w:val="94A3B8"/>
          <w:sz w:val="19"/>
          <w:szCs w:val="19"/>
        </w:rPr>
        <w:ptab w:alignment="right" w:relativeTo="margin" w:leader="dot"/>
        <w:t xml:space="preserve">12</w:t>
      </w:r>
    </w:p>
    <w:p>
      <w:pPr>
        <w:spacing w:before="40" w:after="40"/>
      </w:pPr>
      <w:r>
        <w:rPr>
          <w:rFonts w:ascii="Calibri" w:cs="Calibri" w:eastAsia="Calibri" w:hAnsi="Calibri"/>
          <w:b/>
          <w:bCs/>
          <w:color w:val="2980B9"/>
          <w:sz w:val="19"/>
          <w:szCs w:val="19"/>
        </w:rPr>
        <w:t xml:space="preserve">8 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Cadência e Governança</w:t>
      </w:r>
      <w:r>
        <w:rPr>
          <w:rFonts w:ascii="Calibri" w:cs="Calibri" w:eastAsia="Calibri" w:hAnsi="Calibri"/>
          <w:color w:val="94A3B8"/>
          <w:sz w:val="19"/>
          <w:szCs w:val="19"/>
        </w:rPr>
        <w:ptab w:alignment="right" w:relativeTo="margin" w:leader="dot"/>
        <w:t xml:space="preserve">13</w:t>
      </w:r>
    </w:p>
    <w:p>
      <w:pPr>
        <w:spacing w:before="40" w:after="40"/>
      </w:pPr>
      <w:r>
        <w:rPr>
          <w:rFonts w:ascii="Calibri" w:cs="Calibri" w:eastAsia="Calibri" w:hAnsi="Calibri"/>
          <w:b/>
          <w:bCs/>
          <w:color w:val="2980B9"/>
          <w:sz w:val="19"/>
          <w:szCs w:val="19"/>
        </w:rPr>
        <w:t xml:space="preserve">9 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Glossário</w:t>
      </w:r>
      <w:r>
        <w:rPr>
          <w:rFonts w:ascii="Calibri" w:cs="Calibri" w:eastAsia="Calibri" w:hAnsi="Calibri"/>
          <w:color w:val="94A3B8"/>
          <w:sz w:val="19"/>
          <w:szCs w:val="19"/>
        </w:rPr>
        <w:ptab w:alignment="right" w:relativeTo="margin" w:leader="dot"/>
        <w:t xml:space="preserve">13</w:t>
      </w:r>
    </w:p>
    <w:p>
      <w:r>
        <w:br w:type="page"/>
      </w:r>
    </w:p>
    <w:p>
      <w:pPr>
        <w:pBdr>
          <w:bottom w:val="single" w:color="2980B9" w:sz="6" w:space="4"/>
        </w:pBdr>
        <w:spacing w:before="360" w:after="160"/>
      </w:pPr>
      <w:r>
        <w:rPr>
          <w:rFonts w:ascii="Calibri Light" w:cs="Calibri Light" w:eastAsia="Calibri Light" w:hAnsi="Calibri Light"/>
          <w:b/>
          <w:bCs/>
          <w:color w:val="2980B9"/>
          <w:sz w:val="30"/>
          <w:szCs w:val="30"/>
        </w:rPr>
        <w:t xml:space="preserve">1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Princípios de Execução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6080"/>
      </w:tblGrid>
      <w:tr>
        <w:tc>
          <w:tcPr>
            <w:tcW w:type="dxa" w:w="4000"/>
            <w:tcBorders>
              <w:top w:val="none" w:sz="0"/>
              <w:left w:val="none" w:sz="0"/>
              <w:bottom w:val="none" w:sz="0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Princípio</w:t>
            </w:r>
          </w:p>
        </w:tc>
        <w:tc>
          <w:tcPr>
            <w:tcW w:type="dxa" w:w="6080"/>
            <w:tcBorders>
              <w:top w:val="none" w:sz="0"/>
              <w:left w:val="none" w:sz="0"/>
              <w:bottom w:val="none" w:sz="0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Significado prático</w:t>
            </w:r>
          </w:p>
        </w:tc>
      </w:tr>
      <w:tr>
        <w:tc>
          <w:tcPr>
            <w:tcW w:type="dxa" w:w="40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Qualidade antes de velocidade</w:t>
            </w:r>
          </w:p>
        </w:tc>
        <w:tc>
          <w:tcPr>
            <w:tcW w:type="dxa" w:w="60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Hectare refeito custa 2x. SLA previne retrabalho.</w:t>
            </w:r>
          </w:p>
        </w:tc>
      </w:tr>
      <w:tr>
        <w:tc>
          <w:tcPr>
            <w:tcW w:type="dxa" w:w="40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Planejamento semanal, não reativo</w:t>
            </w:r>
          </w:p>
        </w:tc>
        <w:tc>
          <w:tcPr>
            <w:tcW w:type="dxa" w:w="60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Alocação definida na sexta para a semana seguinte.</w:t>
            </w:r>
          </w:p>
        </w:tc>
      </w:tr>
      <w:tr>
        <w:tc>
          <w:tcPr>
            <w:tcW w:type="dxa" w:w="40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Dados padronizados em campo</w:t>
            </w:r>
          </w:p>
        </w:tc>
        <w:tc>
          <w:tcPr>
            <w:tcW w:type="dxa" w:w="60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Coleta estruturada alimenta prova de valor (P&amp;D) e devolutiva (CS).</w:t>
            </w:r>
          </w:p>
        </w:tc>
      </w:tr>
      <w:tr>
        <w:tc>
          <w:tcPr>
            <w:tcW w:type="dxa" w:w="40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Governança delegável</w:t>
            </w:r>
          </w:p>
        </w:tc>
        <w:tc>
          <w:tcPr>
            <w:tcW w:type="dxa" w:w="60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COO assume sem dependência tácita da Direção.</w:t>
            </w:r>
          </w:p>
        </w:tc>
      </w:tr>
      <w:tr>
        <w:tc>
          <w:tcPr>
            <w:tcW w:type="dxa" w:w="40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Custo/ha como guardrail</w:t>
            </w:r>
          </w:p>
        </w:tc>
        <w:tc>
          <w:tcPr>
            <w:tcW w:type="dxa" w:w="60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Se custo sobe de R$9, para e investiga antes de continuar.</w:t>
            </w:r>
          </w:p>
        </w:tc>
      </w:tr>
    </w:tbl>
    <w:p>
      <w:pPr>
        <w:spacing w:before="240" w:after="10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1.1 Matriz de responsabilidades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400"/>
        <w:gridCol w:w="1400"/>
        <w:gridCol w:w="1400"/>
      </w:tblGrid>
      <w:t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Atividade</w:t>
            </w:r>
          </w:p>
        </w:tc>
        <w:tc>
          <w:tcPr>
            <w:tcW w:type="dxa" w:w="1600"/>
            <w:tcBorders>
              <w:top w:val="none" w:sz="0"/>
              <w:left w:val="none" w:sz="0"/>
              <w:bottom w:val="none" w:sz="0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none" w:sz="0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Aprovador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none" w:sz="0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Consultado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none" w:sz="0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Informado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Planejamento semanal</w:t>
            </w:r>
          </w:p>
        </w:tc>
        <w:tc>
          <w:tcPr>
            <w:tcW w:type="dxa" w:w="16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COO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Direção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CS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Campo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Alocação de equipe</w:t>
            </w:r>
          </w:p>
        </w:tc>
        <w:tc>
          <w:tcPr>
            <w:tcW w:type="dxa" w:w="16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COO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Líderes campo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RH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Checklist de qualidade (SLA)</w:t>
            </w:r>
          </w:p>
        </w:tc>
        <w:tc>
          <w:tcPr>
            <w:tcW w:type="dxa" w:w="16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Líder de campo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COO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P&amp;D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CS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Registro de retrabalho</w:t>
            </w:r>
          </w:p>
        </w:tc>
        <w:tc>
          <w:tcPr>
            <w:tcW w:type="dxa" w:w="16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Líder de campo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COO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Financeiro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Coleta de dados em campo</w:t>
            </w:r>
          </w:p>
        </w:tc>
        <w:tc>
          <w:tcPr>
            <w:tcW w:type="dxa" w:w="16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Equipe campo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COO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P&amp;D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CS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Manutenção preventiva frota</w:t>
            </w:r>
          </w:p>
        </w:tc>
        <w:tc>
          <w:tcPr>
            <w:tcW w:type="dxa" w:w="16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Líder de campo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COO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Financeiro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Relatório WBR</w:t>
            </w:r>
          </w:p>
        </w:tc>
        <w:tc>
          <w:tcPr>
            <w:tcW w:type="dxa" w:w="16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COO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Direção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CS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Financeiro</w:t>
            </w:r>
          </w:p>
        </w:tc>
      </w:tr>
    </w:tbl>
    <w:p>
      <w:pPr>
        <w:pBdr>
          <w:bottom w:val="single" w:color="2980B9" w:sz="6" w:space="4"/>
        </w:pBdr>
        <w:spacing w:before="360" w:after="160"/>
      </w:pPr>
      <w:r>
        <w:rPr>
          <w:rFonts w:ascii="Calibri Light" w:cs="Calibri Light" w:eastAsia="Calibri Light" w:hAnsi="Calibri Light"/>
          <w:b/>
          <w:bCs/>
          <w:color w:val="2980B9"/>
          <w:sz w:val="30"/>
          <w:szCs w:val="30"/>
        </w:rPr>
        <w:t xml:space="preserve">2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Mapa de Execução Consolidado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1200"/>
        <w:gridCol w:w="1400"/>
        <w:gridCol w:w="1200"/>
      </w:tblGrid>
      <w:tr>
        <w:tc>
          <w:tcPr>
            <w:tcW w:type="dxa" w:w="1400"/>
            <w:tcBorders>
              <w:top w:val="none" w:sz="0"/>
              <w:left w:val="none" w:sz="0"/>
              <w:bottom w:val="none" w:sz="0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INIT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Título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none" w:sz="0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Programa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none" w:sz="0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Prioridade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none" w:sz="0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Prazo</w:t>
            </w:r>
          </w:p>
        </w:tc>
      </w:tr>
      <w:tr>
        <w:tc>
          <w:tcPr>
            <w:tcW w:type="dxa" w:w="14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INIT-OP-001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Implantação planejamento semanal capacidade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OP-P1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P0 — Crítico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Mar/2026</w:t>
            </w:r>
          </w:p>
        </w:tc>
      </w:tr>
      <w:tr>
        <w:tc>
          <w:tcPr>
            <w:tcW w:type="dxa" w:w="14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INIT-OP-002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Modelo de previsão 30/60/90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OP-P1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P1 — Alto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Abr/2026</w:t>
            </w:r>
          </w:p>
        </w:tc>
      </w:tr>
      <w:tr>
        <w:tc>
          <w:tcPr>
            <w:tcW w:type="dxa" w:w="14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INIT-OP-003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Dashboard de backlog e saldo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OP-P1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P1 — Alto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Mar/2026</w:t>
            </w:r>
          </w:p>
        </w:tc>
      </w:tr>
      <w:tr>
        <w:tc>
          <w:tcPr>
            <w:tcW w:type="dxa" w:w="14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INIT-OP-004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Baseline de retrabalho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OP-P2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P0 — Crítico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Mar/2026</w:t>
            </w:r>
          </w:p>
        </w:tc>
      </w:tr>
      <w:tr>
        <w:tc>
          <w:tcPr>
            <w:tcW w:type="dxa" w:w="14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INIT-OP-005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Definição e publicação do SLA mínimo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OP-P2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P0 — Crítico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Abr/2026</w:t>
            </w:r>
          </w:p>
        </w:tc>
      </w:tr>
      <w:tr>
        <w:tc>
          <w:tcPr>
            <w:tcW w:type="dxa" w:w="14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INIT-OP-006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Sistema de medição de aderência SLA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OP-P2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P1 — Alto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Abr/2026</w:t>
            </w:r>
          </w:p>
        </w:tc>
      </w:tr>
      <w:tr>
        <w:tc>
          <w:tcPr>
            <w:tcW w:type="dxa" w:w="14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INIT-OP-007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Checklist operacional padronizado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OP-P2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P1 — Alto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Mar/2026</w:t>
            </w:r>
          </w:p>
        </w:tc>
      </w:tr>
      <w:tr>
        <w:tc>
          <w:tcPr>
            <w:tcW w:type="dxa" w:w="14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INIT-OP-008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Plano de execução Pareto Top-14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OP-P3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P0 — Crítico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Mar/2026</w:t>
            </w:r>
          </w:p>
        </w:tc>
      </w:tr>
      <w:tr>
        <w:tc>
          <w:tcPr>
            <w:tcW w:type="dxa" w:w="14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INIT-OP-009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Aceleração de saldo Q1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OP-P3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P0 — Crítico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Mar/2026</w:t>
            </w:r>
          </w:p>
        </w:tc>
      </w:tr>
      <w:tr>
        <w:tc>
          <w:tcPr>
            <w:tcW w:type="dxa" w:w="14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INIT-OP-010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Run-rate tracking semanal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OP-P3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P1 — Alto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Abr/2026</w:t>
            </w:r>
          </w:p>
        </w:tc>
      </w:tr>
      <w:tr>
        <w:tc>
          <w:tcPr>
            <w:tcW w:type="dxa" w:w="14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INIT-OP-011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Mapa de pontos de passagem Op↔CS↔Dados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OP-P4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P0 — Crítico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Abr/2026</w:t>
            </w:r>
          </w:p>
        </w:tc>
      </w:tr>
      <w:tr>
        <w:tc>
          <w:tcPr>
            <w:tcW w:type="dxa" w:w="14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INIT-OP-012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Onboarding COO — plano 90 dias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OP-P4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P0 — Crítico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Jun/2026</w:t>
            </w:r>
          </w:p>
        </w:tc>
      </w:tr>
      <w:tr>
        <w:tc>
          <w:tcPr>
            <w:tcW w:type="dxa" w:w="14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INIT-OP-013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Padronização coleta dados em campo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OP-P4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P1 — Alto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Jun/2026</w:t>
            </w:r>
          </w:p>
        </w:tc>
      </w:tr>
      <w:tr>
        <w:tc>
          <w:tcPr>
            <w:tcW w:type="dxa" w:w="14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INIT-OP-014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Manutenção preventiva frota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OP-P1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P1 — Alto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Mar/2026</w:t>
            </w:r>
          </w:p>
        </w:tc>
      </w:tr>
      <w:tr>
        <w:tc>
          <w:tcPr>
            <w:tcW w:type="dxa" w:w="14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INIT-OP-015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Otimização de rotas operacionais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OP-P3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P2 — Médio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Jun/2026</w:t>
            </w:r>
          </w:p>
        </w:tc>
      </w:tr>
      <w:tr>
        <w:tc>
          <w:tcPr>
            <w:tcW w:type="dxa" w:w="14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INIT-OP-016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Protocolo de contingência climática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OP-P2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P2 — Médio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Abr/2026</w:t>
            </w:r>
          </w:p>
        </w:tc>
      </w:tr>
    </w:tbl>
    <w:p>
      <w:r>
        <w:br w:type="page"/>
      </w:r>
    </w:p>
    <w:p>
      <w:pPr>
        <w:pBdr>
          <w:bottom w:val="single" w:color="2980B9" w:sz="6" w:space="4"/>
        </w:pBdr>
        <w:spacing w:before="360" w:after="160"/>
      </w:pPr>
      <w:r>
        <w:rPr>
          <w:rFonts w:ascii="Calibri Light" w:cs="Calibri Light" w:eastAsia="Calibri Light" w:hAnsi="Calibri Light"/>
          <w:b/>
          <w:bCs/>
          <w:color w:val="2980B9"/>
          <w:sz w:val="30"/>
          <w:szCs w:val="30"/>
        </w:rPr>
        <w:t xml:space="preserve">3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OP-P1 · Capacidade e Planejamento</w:t>
      </w:r>
    </w:p>
    <w:p>
      <w:pPr>
        <w:pBdr>
          <w:left w:val="single" w:color="37474F" w:sz="16" w:space="8"/>
        </w:pBdr>
        <w:spacing w:before="100" w:after="60"/>
      </w:pPr>
      <w:r>
        <w:rPr>
          <w:rFonts w:ascii="Calibri" w:cs="Calibri" w:eastAsia="Calibri" w:hAnsi="Calibri"/>
          <w:b/>
          <w:bCs/>
          <w:color w:val="37474F"/>
          <w:sz w:val="18"/>
          <w:szCs w:val="18"/>
        </w:rPr>
        <w:t xml:space="preserve">Azul Aço #37474F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  |  KRs: KR-OP-1.1, 1.2, 1.3, 1.4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3080"/>
      </w:tblGrid>
      <w:tr>
        <w:tc>
          <w:tcPr>
            <w:tcW w:type="dxa" w:w="3500"/>
            <w:tcBorders>
              <w:top w:val="none" w:sz="0"/>
              <w:left w:val="none" w:sz="0"/>
              <w:bottom w:val="none" w:sz="0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Meta</w:t>
            </w:r>
          </w:p>
        </w:tc>
        <w:tc>
          <w:tcPr>
            <w:tcW w:type="dxa" w:w="3500"/>
            <w:tcBorders>
              <w:top w:val="none" w:sz="0"/>
              <w:left w:val="none" w:sz="0"/>
              <w:bottom w:val="none" w:sz="0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Indicador</w:t>
            </w:r>
          </w:p>
        </w:tc>
        <w:tc>
          <w:tcPr>
            <w:tcW w:type="dxa" w:w="3080"/>
            <w:tcBorders>
              <w:top w:val="none" w:sz="0"/>
              <w:left w:val="none" w:sz="0"/>
              <w:bottom w:val="none" w:sz="0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Alvo</w:t>
            </w:r>
          </w:p>
        </w:tc>
      </w:tr>
      <w:tr>
        <w:tc>
          <w:tcPr>
            <w:tcW w:type="dxa" w:w="35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Planejamento semanal operante</w:t>
            </w:r>
          </w:p>
        </w:tc>
        <w:tc>
          <w:tcPr>
            <w:tcW w:type="dxa" w:w="35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% semanas com registro publicado</w:t>
            </w:r>
          </w:p>
        </w:tc>
        <w:tc>
          <w:tcPr>
            <w:tcW w:type="dxa" w:w="30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100% a partir de mar/2026</w:t>
            </w:r>
          </w:p>
        </w:tc>
      </w:tr>
      <w:tr>
        <w:tc>
          <w:tcPr>
            <w:tcW w:type="dxa" w:w="35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Previsão 30/60/90 por região</w:t>
            </w:r>
          </w:p>
        </w:tc>
        <w:tc>
          <w:tcPr>
            <w:tcW w:type="dxa" w:w="35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Aderência previsão vs realizado</w:t>
            </w:r>
          </w:p>
        </w:tc>
        <w:tc>
          <w:tcPr>
            <w:tcW w:type="dxa" w:w="30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≥80%</w:t>
            </w:r>
          </w:p>
        </w:tc>
      </w:tr>
      <w:tr>
        <w:tc>
          <w:tcPr>
            <w:tcW w:type="dxa" w:w="35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Backlog visível</w:t>
            </w:r>
          </w:p>
        </w:tc>
        <w:tc>
          <w:tcPr>
            <w:tcW w:type="dxa" w:w="35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% contratos com status atualizado</w:t>
            </w:r>
          </w:p>
        </w:tc>
        <w:tc>
          <w:tcPr>
            <w:tcW w:type="dxa" w:w="30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35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Execução Q1</w:t>
            </w:r>
          </w:p>
        </w:tc>
        <w:tc>
          <w:tcPr>
            <w:tcW w:type="dxa" w:w="35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Hectares acumulados</w:t>
            </w:r>
          </w:p>
        </w:tc>
        <w:tc>
          <w:tcPr>
            <w:tcW w:type="dxa" w:w="30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≥50.438 ha</w:t>
            </w:r>
          </w:p>
        </w:tc>
      </w:tr>
    </w:tbl>
    <w:p>
      <w:pPr>
        <w:pBdr>
          <w:left w:val="single" w:color="37474F" w:sz="12" w:space="8"/>
        </w:pBdr>
        <w:spacing w:before="200" w:after="60"/>
      </w:pPr>
      <w:r>
        <w:rPr>
          <w:rFonts w:ascii="Calibri" w:cs="Calibri" w:eastAsia="Calibri" w:hAnsi="Calibri"/>
          <w:b/>
          <w:bCs/>
          <w:color w:val="37474F"/>
          <w:sz w:val="20"/>
          <w:szCs w:val="20"/>
        </w:rPr>
        <w:t xml:space="preserve">INIT-OP-001 — </w:t>
      </w:r>
      <w:r>
        <w:rPr>
          <w:rFonts w:ascii="Calibri" w:cs="Calibri" w:eastAsia="Calibri" w:hAnsi="Calibri"/>
          <w:b/>
          <w:bCs/>
          <w:color w:val="163B5C"/>
          <w:sz w:val="20"/>
          <w:szCs w:val="20"/>
        </w:rPr>
        <w:t xml:space="preserve">Implantação planejamento semanal de capacidade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none" w:sz="0"/>
              <w:left w:val="none" w:sz="0"/>
              <w:bottom w:val="single" w:color="37474F" w:sz="1"/>
              <w:right w:val="none" w:sz="0"/>
            </w:tcBorders>
            <w:shd w:fill="37474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Por que existe</w:t>
            </w:r>
          </w:p>
        </w:tc>
        <w:tc>
          <w:tcPr>
            <w:tcW w:type="dxa" w:w="78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Operação aloca ad hoc sem registro — impossível prever gargalos ou otimizar alocação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single" w:color="37474F" w:sz="1"/>
              <w:right w:val="none" w:sz="0"/>
            </w:tcBorders>
            <w:shd w:fill="37474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 que muda</w:t>
            </w:r>
          </w:p>
        </w:tc>
        <w:tc>
          <w:tcPr>
            <w:tcW w:type="dxa" w:w="78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Toda sexta: publicação do plano da semana seguinte com equipes, regiões e volumes previstos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single" w:color="37474F" w:sz="1"/>
              <w:right w:val="none" w:sz="0"/>
            </w:tcBorders>
            <w:shd w:fill="37474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Como executar</w:t>
            </w:r>
          </w:p>
        </w:tc>
        <w:tc>
          <w:tcPr>
            <w:tcW w:type="dxa" w:w="78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1) Definir template de planejamento (semana 1). 2) Piloto com 2 regiões (semanas 2-3). 3) Roll-out total (semana 4+).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single" w:color="37474F" w:sz="1"/>
              <w:right w:val="none" w:sz="0"/>
            </w:tcBorders>
            <w:shd w:fill="37474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Critério de pronto</w:t>
            </w:r>
          </w:p>
        </w:tc>
        <w:tc>
          <w:tcPr>
            <w:tcW w:type="dxa" w:w="78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4 semanas consecutivas com 100% de registro publicado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single" w:color="37474F" w:sz="1"/>
              <w:right w:val="none" w:sz="0"/>
            </w:tcBorders>
            <w:shd w:fill="37474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Evidências</w:t>
            </w:r>
          </w:p>
        </w:tc>
        <w:tc>
          <w:tcPr>
            <w:tcW w:type="dxa" w:w="78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Template preenchido + ata de WBR com referência ao plano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single" w:color="37474F" w:sz="1"/>
              <w:right w:val="none" w:sz="0"/>
            </w:tcBorders>
            <w:shd w:fill="37474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Riscos</w:t>
            </w:r>
          </w:p>
        </w:tc>
        <w:tc>
          <w:tcPr>
            <w:tcW w:type="dxa" w:w="78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Resistência da equipe de campo a registrar — mitigar com template simples (5 min)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single" w:color="37474F" w:sz="1"/>
              <w:right w:val="none" w:sz="0"/>
            </w:tcBorders>
            <w:shd w:fill="37474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Responsável</w:t>
            </w:r>
          </w:p>
        </w:tc>
        <w:tc>
          <w:tcPr>
            <w:tcW w:type="dxa" w:w="78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Direção → COO | Partners: Líderes de campo</w:t>
            </w:r>
          </w:p>
        </w:tc>
      </w:tr>
    </w:tbl>
    <w:p>
      <w:pPr>
        <w:pBdr>
          <w:left w:val="single" w:color="37474F" w:sz="12" w:space="8"/>
        </w:pBdr>
        <w:spacing w:before="200" w:after="60"/>
      </w:pPr>
      <w:r>
        <w:rPr>
          <w:rFonts w:ascii="Calibri" w:cs="Calibri" w:eastAsia="Calibri" w:hAnsi="Calibri"/>
          <w:b/>
          <w:bCs/>
          <w:color w:val="37474F"/>
          <w:sz w:val="20"/>
          <w:szCs w:val="20"/>
        </w:rPr>
        <w:t xml:space="preserve">INIT-OP-002 — </w:t>
      </w:r>
      <w:r>
        <w:rPr>
          <w:rFonts w:ascii="Calibri" w:cs="Calibri" w:eastAsia="Calibri" w:hAnsi="Calibri"/>
          <w:b/>
          <w:bCs/>
          <w:color w:val="163B5C"/>
          <w:sz w:val="20"/>
          <w:szCs w:val="20"/>
        </w:rPr>
        <w:t xml:space="preserve">Modelo de previsão 30/60/90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none" w:sz="0"/>
              <w:left w:val="none" w:sz="0"/>
              <w:bottom w:val="single" w:color="37474F" w:sz="1"/>
              <w:right w:val="none" w:sz="0"/>
            </w:tcBorders>
            <w:shd w:fill="37474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Por que existe</w:t>
            </w:r>
          </w:p>
        </w:tc>
        <w:tc>
          <w:tcPr>
            <w:tcW w:type="dxa" w:w="78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Sem previsão, decisões de alocação são reativas e a Sala de Situação opera com dados defasados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single" w:color="37474F" w:sz="1"/>
              <w:right w:val="none" w:sz="0"/>
            </w:tcBorders>
            <w:shd w:fill="37474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 que muda</w:t>
            </w:r>
          </w:p>
        </w:tc>
        <w:tc>
          <w:tcPr>
            <w:tcW w:type="dxa" w:w="78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Publicação quinzenal de previsão de execução por região com horizonte 30/60/90 dias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single" w:color="37474F" w:sz="1"/>
              <w:right w:val="none" w:sz="0"/>
            </w:tcBorders>
            <w:shd w:fill="37474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Como executar</w:t>
            </w:r>
          </w:p>
        </w:tc>
        <w:tc>
          <w:tcPr>
            <w:tcW w:type="dxa" w:w="78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1) Levantar saldo por região (semana 1). 2) Cruzar com capacidade disponível. 3) Publicar previsão no Dashboard.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single" w:color="37474F" w:sz="1"/>
              <w:right w:val="none" w:sz="0"/>
            </w:tcBorders>
            <w:shd w:fill="37474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Critério de pronto</w:t>
            </w:r>
          </w:p>
        </w:tc>
        <w:tc>
          <w:tcPr>
            <w:tcW w:type="dxa" w:w="78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≥80% aderência previsão vs realizado por 3 meses consecutivos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single" w:color="37474F" w:sz="1"/>
              <w:right w:val="none" w:sz="0"/>
            </w:tcBorders>
            <w:shd w:fill="37474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Evidências</w:t>
            </w:r>
          </w:p>
        </w:tc>
        <w:tc>
          <w:tcPr>
            <w:tcW w:type="dxa" w:w="78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Dashboard com previsão + relatório de aderência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single" w:color="37474F" w:sz="1"/>
              <w:right w:val="none" w:sz="0"/>
            </w:tcBorders>
            <w:shd w:fill="37474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Riscos</w:t>
            </w:r>
          </w:p>
        </w:tc>
        <w:tc>
          <w:tcPr>
            <w:tcW w:type="dxa" w:w="78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Sazonalidade pode reduzir aderência — incluir fator de ajuste climático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single" w:color="37474F" w:sz="1"/>
              <w:right w:val="none" w:sz="0"/>
            </w:tcBorders>
            <w:shd w:fill="37474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Responsável</w:t>
            </w:r>
          </w:p>
        </w:tc>
        <w:tc>
          <w:tcPr>
            <w:tcW w:type="dxa" w:w="78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COO | Partners: CS (demanda), Financeiro (custo)</w:t>
            </w:r>
          </w:p>
        </w:tc>
      </w:tr>
    </w:tbl>
    <w:p>
      <w:pPr>
        <w:pBdr>
          <w:left w:val="single" w:color="37474F" w:sz="12" w:space="8"/>
        </w:pBdr>
        <w:spacing w:before="200" w:after="60"/>
      </w:pPr>
      <w:r>
        <w:rPr>
          <w:rFonts w:ascii="Calibri" w:cs="Calibri" w:eastAsia="Calibri" w:hAnsi="Calibri"/>
          <w:b/>
          <w:bCs/>
          <w:color w:val="37474F"/>
          <w:sz w:val="20"/>
          <w:szCs w:val="20"/>
        </w:rPr>
        <w:t xml:space="preserve">INIT-OP-003 — </w:t>
      </w:r>
      <w:r>
        <w:rPr>
          <w:rFonts w:ascii="Calibri" w:cs="Calibri" w:eastAsia="Calibri" w:hAnsi="Calibri"/>
          <w:b/>
          <w:bCs/>
          <w:color w:val="163B5C"/>
          <w:sz w:val="20"/>
          <w:szCs w:val="20"/>
        </w:rPr>
        <w:t xml:space="preserve">Dashboard de backlog e saldo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none" w:sz="0"/>
              <w:left w:val="none" w:sz="0"/>
              <w:bottom w:val="single" w:color="37474F" w:sz="1"/>
              <w:right w:val="none" w:sz="0"/>
            </w:tcBorders>
            <w:shd w:fill="37474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Por que existe</w:t>
            </w:r>
          </w:p>
        </w:tc>
        <w:tc>
          <w:tcPr>
            <w:tcW w:type="dxa" w:w="78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Saldo contratual não é visível em tempo real — decisões de priorização baseadas em dados defasados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single" w:color="37474F" w:sz="1"/>
              <w:right w:val="none" w:sz="0"/>
            </w:tcBorders>
            <w:shd w:fill="37474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 que muda</w:t>
            </w:r>
          </w:p>
        </w:tc>
        <w:tc>
          <w:tcPr>
            <w:tcW w:type="dxa" w:w="78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Dashboard atualizado semanalmente com saldo por contratante, região e prioridade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single" w:color="37474F" w:sz="1"/>
              <w:right w:val="none" w:sz="0"/>
            </w:tcBorders>
            <w:shd w:fill="37474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Como executar</w:t>
            </w:r>
          </w:p>
        </w:tc>
        <w:tc>
          <w:tcPr>
            <w:tcW w:type="dxa" w:w="78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1) Consolidar base de saldo (semana 1). 2) Construir dashboard (semana 2-3). 3) Integrar com Sala de Situação.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single" w:color="37474F" w:sz="1"/>
              <w:right w:val="none" w:sz="0"/>
            </w:tcBorders>
            <w:shd w:fill="37474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Critério de pronto</w:t>
            </w:r>
          </w:p>
        </w:tc>
        <w:tc>
          <w:tcPr>
            <w:tcW w:type="dxa" w:w="78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Dashboard operante com atualização semanal por 4+ semanas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single" w:color="37474F" w:sz="1"/>
              <w:right w:val="none" w:sz="0"/>
            </w:tcBorders>
            <w:shd w:fill="37474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Evidências</w:t>
            </w:r>
          </w:p>
        </w:tc>
        <w:tc>
          <w:tcPr>
            <w:tcW w:type="dxa" w:w="78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Captura de tela do dashboard + ata da Sala de Situação referenciando dados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single" w:color="37474F" w:sz="1"/>
              <w:right w:val="none" w:sz="0"/>
            </w:tcBorders>
            <w:shd w:fill="37474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Riscos</w:t>
            </w:r>
          </w:p>
        </w:tc>
        <w:tc>
          <w:tcPr>
            <w:tcW w:type="dxa" w:w="78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Dados de saldo podem estar desatualizados — cruzar com Financeiro mensalmente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single" w:color="37474F" w:sz="1"/>
              <w:right w:val="none" w:sz="0"/>
            </w:tcBorders>
            <w:shd w:fill="37474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Responsável</w:t>
            </w:r>
          </w:p>
        </w:tc>
        <w:tc>
          <w:tcPr>
            <w:tcW w:type="dxa" w:w="78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Direção → COO | Partners: P&amp;D/Dados</w:t>
            </w:r>
          </w:p>
        </w:tc>
      </w:tr>
    </w:tbl>
    <w:p>
      <w:r>
        <w:br w:type="page"/>
      </w:r>
    </w:p>
    <w:p>
      <w:pPr>
        <w:pBdr>
          <w:bottom w:val="single" w:color="2980B9" w:sz="6" w:space="4"/>
        </w:pBdr>
        <w:spacing w:before="360" w:after="160"/>
      </w:pPr>
      <w:r>
        <w:rPr>
          <w:rFonts w:ascii="Calibri Light" w:cs="Calibri Light" w:eastAsia="Calibri Light" w:hAnsi="Calibri Light"/>
          <w:b/>
          <w:bCs/>
          <w:color w:val="2980B9"/>
          <w:sz w:val="30"/>
          <w:szCs w:val="30"/>
        </w:rPr>
        <w:t xml:space="preserve">4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OP-P2 · Qualidade e Padrão SLA</w:t>
      </w:r>
    </w:p>
    <w:p>
      <w:pPr>
        <w:pBdr>
          <w:left w:val="single" w:color="00796B" w:sz="16" w:space="8"/>
        </w:pBdr>
        <w:spacing w:before="100" w:after="60"/>
      </w:pPr>
      <w:r>
        <w:rPr>
          <w:rFonts w:ascii="Calibri" w:cs="Calibri" w:eastAsia="Calibri" w:hAnsi="Calibri"/>
          <w:b/>
          <w:bCs/>
          <w:color w:val="00796B"/>
          <w:sz w:val="18"/>
          <w:szCs w:val="18"/>
        </w:rPr>
        <w:t xml:space="preserve">Jade #00796B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  |  KRs: KR-OP-2.1, 2.2, 2.3, 2.4</w:t>
      </w:r>
    </w:p>
    <w:p>
      <w:pPr>
        <w:pBdr>
          <w:left w:val="single" w:color="00796B" w:sz="12" w:space="8"/>
        </w:pBdr>
        <w:spacing w:before="200" w:after="60"/>
      </w:pPr>
      <w:r>
        <w:rPr>
          <w:rFonts w:ascii="Calibri" w:cs="Calibri" w:eastAsia="Calibri" w:hAnsi="Calibri"/>
          <w:b/>
          <w:bCs/>
          <w:color w:val="00796B"/>
          <w:sz w:val="20"/>
          <w:szCs w:val="20"/>
        </w:rPr>
        <w:t xml:space="preserve">INIT-OP-004 — </w:t>
      </w:r>
      <w:r>
        <w:rPr>
          <w:rFonts w:ascii="Calibri" w:cs="Calibri" w:eastAsia="Calibri" w:hAnsi="Calibri"/>
          <w:b/>
          <w:bCs/>
          <w:color w:val="163B5C"/>
          <w:sz w:val="20"/>
          <w:szCs w:val="20"/>
        </w:rPr>
        <w:t xml:space="preserve">Baseline de retrabalho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none" w:sz="0"/>
              <w:left w:val="none" w:sz="0"/>
              <w:bottom w:val="single" w:color="00796B" w:sz="1"/>
              <w:right w:val="none" w:sz="0"/>
            </w:tcBorders>
            <w:shd w:fill="00796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Por que existe</w:t>
            </w:r>
          </w:p>
        </w:tc>
        <w:tc>
          <w:tcPr>
            <w:tcW w:type="dxa" w:w="78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Sem baseline, é impossível medir melhoria — qualidade fica subjetiva e não-auditável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single" w:color="00796B" w:sz="1"/>
              <w:right w:val="none" w:sz="0"/>
            </w:tcBorders>
            <w:shd w:fill="00796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 que muda</w:t>
            </w:r>
          </w:p>
        </w:tc>
        <w:tc>
          <w:tcPr>
            <w:tcW w:type="dxa" w:w="78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Número de referência fechado com método documentado: % hectares retrabalhados em período de referência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single" w:color="00796B" w:sz="1"/>
              <w:right w:val="none" w:sz="0"/>
            </w:tcBorders>
            <w:shd w:fill="00796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Como executar</w:t>
            </w:r>
          </w:p>
        </w:tc>
        <w:tc>
          <w:tcPr>
            <w:tcW w:type="dxa" w:w="78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1) Definir método de contagem (semana 1). 2) Levantar dados retroativos jan-fev/2026 (semana 2). 3) Publicar baseline (semana 3).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single" w:color="00796B" w:sz="1"/>
              <w:right w:val="none" w:sz="0"/>
            </w:tcBorders>
            <w:shd w:fill="00796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Critério de pronto</w:t>
            </w:r>
          </w:p>
        </w:tc>
        <w:tc>
          <w:tcPr>
            <w:tcW w:type="dxa" w:w="78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Documento com método + número baseline + responsável pela medição recorrente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single" w:color="00796B" w:sz="1"/>
              <w:right w:val="none" w:sz="0"/>
            </w:tcBorders>
            <w:shd w:fill="00796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Evidências</w:t>
            </w:r>
          </w:p>
        </w:tc>
        <w:tc>
          <w:tcPr>
            <w:tcW w:type="dxa" w:w="78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Documento de baseline + planilha de dados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single" w:color="00796B" w:sz="1"/>
              <w:right w:val="none" w:sz="0"/>
            </w:tcBorders>
            <w:shd w:fill="00796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Riscos</w:t>
            </w:r>
          </w:p>
        </w:tc>
        <w:tc>
          <w:tcPr>
            <w:tcW w:type="dxa" w:w="78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Dados retroativos podem ser incompletos — aceitar estimativa conservadora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single" w:color="00796B" w:sz="1"/>
              <w:right w:val="none" w:sz="0"/>
            </w:tcBorders>
            <w:shd w:fill="00796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Responsável</w:t>
            </w:r>
          </w:p>
        </w:tc>
        <w:tc>
          <w:tcPr>
            <w:tcW w:type="dxa" w:w="78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Direção → COO | Partners: Líderes de campo</w:t>
            </w:r>
          </w:p>
        </w:tc>
      </w:tr>
    </w:tbl>
    <w:p>
      <w:pPr>
        <w:pBdr>
          <w:left w:val="single" w:color="00796B" w:sz="12" w:space="8"/>
        </w:pBdr>
        <w:spacing w:before="200" w:after="60"/>
      </w:pPr>
      <w:r>
        <w:rPr>
          <w:rFonts w:ascii="Calibri" w:cs="Calibri" w:eastAsia="Calibri" w:hAnsi="Calibri"/>
          <w:b/>
          <w:bCs/>
          <w:color w:val="00796B"/>
          <w:sz w:val="20"/>
          <w:szCs w:val="20"/>
        </w:rPr>
        <w:t xml:space="preserve">INIT-OP-005 — </w:t>
      </w:r>
      <w:r>
        <w:rPr>
          <w:rFonts w:ascii="Calibri" w:cs="Calibri" w:eastAsia="Calibri" w:hAnsi="Calibri"/>
          <w:b/>
          <w:bCs/>
          <w:color w:val="163B5C"/>
          <w:sz w:val="20"/>
          <w:szCs w:val="20"/>
        </w:rPr>
        <w:t xml:space="preserve">Definição e publicação do SLA mínimo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none" w:sz="0"/>
              <w:left w:val="none" w:sz="0"/>
              <w:bottom w:val="single" w:color="00796B" w:sz="1"/>
              <w:right w:val="none" w:sz="0"/>
            </w:tcBorders>
            <w:shd w:fill="00796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Por que existe</w:t>
            </w:r>
          </w:p>
        </w:tc>
        <w:tc>
          <w:tcPr>
            <w:tcW w:type="dxa" w:w="78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Sem SLA, não há parâmetro de qualidade — contratante reclama sem referência e equipe opera sem padrão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single" w:color="00796B" w:sz="1"/>
              <w:right w:val="none" w:sz="0"/>
            </w:tcBorders>
            <w:shd w:fill="00796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 que muda</w:t>
            </w:r>
          </w:p>
        </w:tc>
        <w:tc>
          <w:tcPr>
            <w:tcW w:type="dxa" w:w="78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Checklist com ≥5 critérios de qualidade por operação, publicado e treinado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single" w:color="00796B" w:sz="1"/>
              <w:right w:val="none" w:sz="0"/>
            </w:tcBorders>
            <w:shd w:fill="00796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Como executar</w:t>
            </w:r>
          </w:p>
        </w:tc>
        <w:tc>
          <w:tcPr>
            <w:tcW w:type="dxa" w:w="78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1) Levantar critérios com equipe técnica (semana 1). 2) Validar com CS (semana 2). 3) Publicar e treinar (semana 3-4).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single" w:color="00796B" w:sz="1"/>
              <w:right w:val="none" w:sz="0"/>
            </w:tcBorders>
            <w:shd w:fill="00796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Critério de pronto</w:t>
            </w:r>
          </w:p>
        </w:tc>
        <w:tc>
          <w:tcPr>
            <w:tcW w:type="dxa" w:w="78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SLA publicado + ≥90% da equipe treinada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single" w:color="00796B" w:sz="1"/>
              <w:right w:val="none" w:sz="0"/>
            </w:tcBorders>
            <w:shd w:fill="00796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Evidências</w:t>
            </w:r>
          </w:p>
        </w:tc>
        <w:tc>
          <w:tcPr>
            <w:tcW w:type="dxa" w:w="78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Documento SLA + lista de presença treinamento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single" w:color="00796B" w:sz="1"/>
              <w:right w:val="none" w:sz="0"/>
            </w:tcBorders>
            <w:shd w:fill="00796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Riscos</w:t>
            </w:r>
          </w:p>
        </w:tc>
        <w:tc>
          <w:tcPr>
            <w:tcW w:type="dxa" w:w="78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SLA rígido demais pode reduzir velocidade — calibrar com operação real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single" w:color="00796B" w:sz="1"/>
              <w:right w:val="none" w:sz="0"/>
            </w:tcBorders>
            <w:shd w:fill="00796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Responsável</w:t>
            </w:r>
          </w:p>
        </w:tc>
        <w:tc>
          <w:tcPr>
            <w:tcW w:type="dxa" w:w="78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COO | Partners: CS, P&amp;D</w:t>
            </w:r>
          </w:p>
        </w:tc>
      </w:tr>
    </w:tbl>
    <w:p>
      <w:pPr>
        <w:pBdr>
          <w:left w:val="single" w:color="00796B" w:sz="12" w:space="8"/>
        </w:pBdr>
        <w:spacing w:before="200" w:after="60"/>
      </w:pPr>
      <w:r>
        <w:rPr>
          <w:rFonts w:ascii="Calibri" w:cs="Calibri" w:eastAsia="Calibri" w:hAnsi="Calibri"/>
          <w:b/>
          <w:bCs/>
          <w:color w:val="00796B"/>
          <w:sz w:val="20"/>
          <w:szCs w:val="20"/>
        </w:rPr>
        <w:t xml:space="preserve">INIT-OP-007 — </w:t>
      </w:r>
      <w:r>
        <w:rPr>
          <w:rFonts w:ascii="Calibri" w:cs="Calibri" w:eastAsia="Calibri" w:hAnsi="Calibri"/>
          <w:b/>
          <w:bCs/>
          <w:color w:val="163B5C"/>
          <w:sz w:val="20"/>
          <w:szCs w:val="20"/>
        </w:rPr>
        <w:t xml:space="preserve">Checklist operacional padronizado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none" w:sz="0"/>
              <w:left w:val="none" w:sz="0"/>
              <w:bottom w:val="single" w:color="00796B" w:sz="1"/>
              <w:right w:val="none" w:sz="0"/>
            </w:tcBorders>
            <w:shd w:fill="00796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Por que existe</w:t>
            </w:r>
          </w:p>
        </w:tc>
        <w:tc>
          <w:tcPr>
            <w:tcW w:type="dxa" w:w="78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Operações executadas sem verificação formal — qualidade depende de experiência individual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single" w:color="00796B" w:sz="1"/>
              <w:right w:val="none" w:sz="0"/>
            </w:tcBorders>
            <w:shd w:fill="00796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 que muda</w:t>
            </w:r>
          </w:p>
        </w:tc>
        <w:tc>
          <w:tcPr>
            <w:tcW w:type="dxa" w:w="78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Checklist preenchido em cada operação com dados de qualidade e conformidade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single" w:color="00796B" w:sz="1"/>
              <w:right w:val="none" w:sz="0"/>
            </w:tcBorders>
            <w:shd w:fill="00796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Como executar</w:t>
            </w:r>
          </w:p>
        </w:tc>
        <w:tc>
          <w:tcPr>
            <w:tcW w:type="dxa" w:w="78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1) Definir itens do checklist (semana 1). 2) Piloto em 5 operações (semana 2-3). 3) Ajustar e roll-out.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single" w:color="00796B" w:sz="1"/>
              <w:right w:val="none" w:sz="0"/>
            </w:tcBorders>
            <w:shd w:fill="00796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Critério de pronto</w:t>
            </w:r>
          </w:p>
        </w:tc>
        <w:tc>
          <w:tcPr>
            <w:tcW w:type="dxa" w:w="78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100% operações com checklist preenchido por 4+ semanas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single" w:color="00796B" w:sz="1"/>
              <w:right w:val="none" w:sz="0"/>
            </w:tcBorders>
            <w:shd w:fill="00796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Evidências</w:t>
            </w:r>
          </w:p>
        </w:tc>
        <w:tc>
          <w:tcPr>
            <w:tcW w:type="dxa" w:w="78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Checklists preenchidos + relatório de conformidade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single" w:color="00796B" w:sz="1"/>
              <w:right w:val="none" w:sz="0"/>
            </w:tcBorders>
            <w:shd w:fill="00796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Riscos</w:t>
            </w:r>
          </w:p>
        </w:tc>
        <w:tc>
          <w:tcPr>
            <w:tcW w:type="dxa" w:w="78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Equipe de campo pode perceber como burocracia — manter checklist com ≤10 itens, ≤3 min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single" w:color="00796B" w:sz="1"/>
              <w:right w:val="none" w:sz="0"/>
            </w:tcBorders>
            <w:shd w:fill="00796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Responsável</w:t>
            </w:r>
          </w:p>
        </w:tc>
        <w:tc>
          <w:tcPr>
            <w:tcW w:type="dxa" w:w="78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Líder de campo | Aprovador: COO</w:t>
            </w:r>
          </w:p>
        </w:tc>
      </w:tr>
    </w:tbl>
    <w:p>
      <w:r>
        <w:br w:type="page"/>
      </w:r>
    </w:p>
    <w:p>
      <w:pPr>
        <w:pBdr>
          <w:bottom w:val="single" w:color="2980B9" w:sz="6" w:space="4"/>
        </w:pBdr>
        <w:spacing w:before="360" w:after="160"/>
      </w:pPr>
      <w:r>
        <w:rPr>
          <w:rFonts w:ascii="Calibri Light" w:cs="Calibri Light" w:eastAsia="Calibri Light" w:hAnsi="Calibri Light"/>
          <w:b/>
          <w:bCs/>
          <w:color w:val="2980B9"/>
          <w:sz w:val="30"/>
          <w:szCs w:val="30"/>
        </w:rPr>
        <w:t xml:space="preserve">5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OP-P3 · Execução e Vazão</w:t>
      </w:r>
    </w:p>
    <w:p>
      <w:pPr>
        <w:pBdr>
          <w:left w:val="single" w:color="E64A19" w:sz="16" w:space="8"/>
        </w:pBdr>
        <w:spacing w:before="100" w:after="60"/>
      </w:pPr>
      <w:r>
        <w:rPr>
          <w:rFonts w:ascii="Calibri" w:cs="Calibri" w:eastAsia="Calibri" w:hAnsi="Calibri"/>
          <w:b/>
          <w:bCs/>
          <w:color w:val="E64A19"/>
          <w:sz w:val="18"/>
          <w:szCs w:val="18"/>
        </w:rPr>
        <w:t xml:space="preserve">Laranja Queimado #E64A19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  |  KRs: KR-OP-3.1, 3.2, 3.3, 3.4</w:t>
      </w:r>
    </w:p>
    <w:p>
      <w:pPr>
        <w:pBdr>
          <w:left w:val="single" w:color="E64A19" w:sz="12" w:space="8"/>
        </w:pBdr>
        <w:spacing w:before="200" w:after="60"/>
      </w:pPr>
      <w:r>
        <w:rPr>
          <w:rFonts w:ascii="Calibri" w:cs="Calibri" w:eastAsia="Calibri" w:hAnsi="Calibri"/>
          <w:b/>
          <w:bCs/>
          <w:color w:val="E64A19"/>
          <w:sz w:val="20"/>
          <w:szCs w:val="20"/>
        </w:rPr>
        <w:t xml:space="preserve">INIT-OP-008 — </w:t>
      </w:r>
      <w:r>
        <w:rPr>
          <w:rFonts w:ascii="Calibri" w:cs="Calibri" w:eastAsia="Calibri" w:hAnsi="Calibri"/>
          <w:b/>
          <w:bCs/>
          <w:color w:val="163B5C"/>
          <w:sz w:val="20"/>
          <w:szCs w:val="20"/>
        </w:rPr>
        <w:t xml:space="preserve">Plano de execução Pareto Top-14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none" w:sz="0"/>
              <w:left w:val="none" w:sz="0"/>
              <w:bottom w:val="single" w:color="E64A19" w:sz="1"/>
              <w:right w:val="none" w:sz="0"/>
            </w:tcBorders>
            <w:shd w:fill="E64A1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Por que existe</w:t>
            </w:r>
          </w:p>
        </w:tc>
        <w:tc>
          <w:tcPr>
            <w:tcW w:type="dxa" w:w="78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14 contratantes concentram o maior saldo — sem plano individual, execução é dispersa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single" w:color="E64A19" w:sz="1"/>
              <w:right w:val="none" w:sz="0"/>
            </w:tcBorders>
            <w:shd w:fill="E64A1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 que muda</w:t>
            </w:r>
          </w:p>
        </w:tc>
        <w:tc>
          <w:tcPr>
            <w:tcW w:type="dxa" w:w="78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Cada contratante Top-14 com plano 7/14/30 ativo, responsável nomeado e previsão de conclusão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single" w:color="E64A19" w:sz="1"/>
              <w:right w:val="none" w:sz="0"/>
            </w:tcBorders>
            <w:shd w:fill="E64A1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Como executar</w:t>
            </w:r>
          </w:p>
        </w:tc>
        <w:tc>
          <w:tcPr>
            <w:tcW w:type="dxa" w:w="78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1) Listar Top-14 com saldo (semana 1). 2) Definir responsável por contratante (semana 1). 3) Criar plano 7/14/30 (semana 2). 4) Acompanhar na Sala de Situação.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single" w:color="E64A19" w:sz="1"/>
              <w:right w:val="none" w:sz="0"/>
            </w:tcBorders>
            <w:shd w:fill="E64A1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Critério de pronto</w:t>
            </w:r>
          </w:p>
        </w:tc>
        <w:tc>
          <w:tcPr>
            <w:tcW w:type="dxa" w:w="78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100% Top-14 com plano ativo e responsável nomeado por 4+ semanas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single" w:color="E64A19" w:sz="1"/>
              <w:right w:val="none" w:sz="0"/>
            </w:tcBorders>
            <w:shd w:fill="E64A1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Evidências</w:t>
            </w:r>
          </w:p>
        </w:tc>
        <w:tc>
          <w:tcPr>
            <w:tcW w:type="dxa" w:w="78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Planos individuais + ata da Sala de Situação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single" w:color="E64A19" w:sz="1"/>
              <w:right w:val="none" w:sz="0"/>
            </w:tcBorders>
            <w:shd w:fill="E64A1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Riscos</w:t>
            </w:r>
          </w:p>
        </w:tc>
        <w:tc>
          <w:tcPr>
            <w:tcW w:type="dxa" w:w="78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Contratantes podem não liberar área no prazo — escalar via CS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single" w:color="E64A19" w:sz="1"/>
              <w:right w:val="none" w:sz="0"/>
            </w:tcBorders>
            <w:shd w:fill="E64A1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Responsável</w:t>
            </w:r>
          </w:p>
        </w:tc>
        <w:tc>
          <w:tcPr>
            <w:tcW w:type="dxa" w:w="78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COO + CS | Partners: Líderes de campo</w:t>
            </w:r>
          </w:p>
        </w:tc>
      </w:tr>
    </w:tbl>
    <w:p>
      <w:pPr>
        <w:pBdr>
          <w:left w:val="single" w:color="E64A19" w:sz="12" w:space="8"/>
        </w:pBdr>
        <w:spacing w:before="200" w:after="60"/>
      </w:pPr>
      <w:r>
        <w:rPr>
          <w:rFonts w:ascii="Calibri" w:cs="Calibri" w:eastAsia="Calibri" w:hAnsi="Calibri"/>
          <w:b/>
          <w:bCs/>
          <w:color w:val="E64A19"/>
          <w:sz w:val="20"/>
          <w:szCs w:val="20"/>
        </w:rPr>
        <w:t xml:space="preserve">INIT-OP-009 — </w:t>
      </w:r>
      <w:r>
        <w:rPr>
          <w:rFonts w:ascii="Calibri" w:cs="Calibri" w:eastAsia="Calibri" w:hAnsi="Calibri"/>
          <w:b/>
          <w:bCs/>
          <w:color w:val="163B5C"/>
          <w:sz w:val="20"/>
          <w:szCs w:val="20"/>
        </w:rPr>
        <w:t xml:space="preserve">Aceleração de saldo Q1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none" w:sz="0"/>
              <w:left w:val="none" w:sz="0"/>
              <w:bottom w:val="single" w:color="E64A19" w:sz="1"/>
              <w:right w:val="none" w:sz="0"/>
            </w:tcBorders>
            <w:shd w:fill="E64A1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Por que existe</w:t>
            </w:r>
          </w:p>
        </w:tc>
        <w:tc>
          <w:tcPr>
            <w:tcW w:type="dxa" w:w="78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Saldo de 88.349 ha representa receita contratada não executada — risco de cancelamento e caixa represado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single" w:color="E64A19" w:sz="1"/>
              <w:right w:val="none" w:sz="0"/>
            </w:tcBorders>
            <w:shd w:fill="E64A1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 que muda</w:t>
            </w:r>
          </w:p>
        </w:tc>
        <w:tc>
          <w:tcPr>
            <w:tcW w:type="dxa" w:w="78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Operação focada em reduzir saldo para ≤37.911 ha no Q1 via alocação prioritária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single" w:color="E64A19" w:sz="1"/>
              <w:right w:val="none" w:sz="0"/>
            </w:tcBorders>
            <w:shd w:fill="E64A1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Como executar</w:t>
            </w:r>
          </w:p>
        </w:tc>
        <w:tc>
          <w:tcPr>
            <w:tcW w:type="dxa" w:w="78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1) Mapear saldo por urgência (semana 1). 2) Alocar equipes prioritariamente para contratos com maior saldo/urgência. 3) Monitorar diariamente.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single" w:color="E64A19" w:sz="1"/>
              <w:right w:val="none" w:sz="0"/>
            </w:tcBorders>
            <w:shd w:fill="E64A1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Critério de pronto</w:t>
            </w:r>
          </w:p>
        </w:tc>
        <w:tc>
          <w:tcPr>
            <w:tcW w:type="dxa" w:w="78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Saldo ≤37.911 ha até 31/mar/2026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single" w:color="E64A19" w:sz="1"/>
              <w:right w:val="none" w:sz="0"/>
            </w:tcBorders>
            <w:shd w:fill="E64A1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Evidências</w:t>
            </w:r>
          </w:p>
        </w:tc>
        <w:tc>
          <w:tcPr>
            <w:tcW w:type="dxa" w:w="78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Dashboard com evolução de saldo + relatório semanal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single" w:color="E64A19" w:sz="1"/>
              <w:right w:val="none" w:sz="0"/>
            </w:tcBorders>
            <w:shd w:fill="E64A1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Riscos</w:t>
            </w:r>
          </w:p>
        </w:tc>
        <w:tc>
          <w:tcPr>
            <w:tcW w:type="dxa" w:w="78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Clima adverso pode atrasar execução — plano B com regiões alternativas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single" w:color="E64A19" w:sz="1"/>
              <w:right w:val="none" w:sz="0"/>
            </w:tcBorders>
            <w:shd w:fill="E64A1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Responsável</w:t>
            </w:r>
          </w:p>
        </w:tc>
        <w:tc>
          <w:tcPr>
            <w:tcW w:type="dxa" w:w="78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Direção → COO | Partners: Líderes de campo, CS</w:t>
            </w:r>
          </w:p>
        </w:tc>
      </w:tr>
    </w:tbl>
    <w:p>
      <w:pPr>
        <w:pBdr>
          <w:left w:val="single" w:color="E64A19" w:sz="12" w:space="8"/>
        </w:pBdr>
        <w:spacing w:before="200" w:after="60"/>
      </w:pPr>
      <w:r>
        <w:rPr>
          <w:rFonts w:ascii="Calibri" w:cs="Calibri" w:eastAsia="Calibri" w:hAnsi="Calibri"/>
          <w:b/>
          <w:bCs/>
          <w:color w:val="E64A19"/>
          <w:sz w:val="20"/>
          <w:szCs w:val="20"/>
        </w:rPr>
        <w:t xml:space="preserve">INIT-OP-010 — </w:t>
      </w:r>
      <w:r>
        <w:rPr>
          <w:rFonts w:ascii="Calibri" w:cs="Calibri" w:eastAsia="Calibri" w:hAnsi="Calibri"/>
          <w:b/>
          <w:bCs/>
          <w:color w:val="163B5C"/>
          <w:sz w:val="20"/>
          <w:szCs w:val="20"/>
        </w:rPr>
        <w:t xml:space="preserve">Run-rate tracking semanal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none" w:sz="0"/>
              <w:left w:val="none" w:sz="0"/>
              <w:bottom w:val="single" w:color="E64A19" w:sz="1"/>
              <w:right w:val="none" w:sz="0"/>
            </w:tcBorders>
            <w:shd w:fill="E64A1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Por que existe</w:t>
            </w:r>
          </w:p>
        </w:tc>
        <w:tc>
          <w:tcPr>
            <w:tcW w:type="dxa" w:w="78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Sem tracking de run-rate, impossível detectar desvio de velocidade antes de virar problema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single" w:color="E64A19" w:sz="1"/>
              <w:right w:val="none" w:sz="0"/>
            </w:tcBorders>
            <w:shd w:fill="E64A1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 que muda</w:t>
            </w:r>
          </w:p>
        </w:tc>
        <w:tc>
          <w:tcPr>
            <w:tcW w:type="dxa" w:w="78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Medição semanal de hectares executados vs meta, com alerta automático se &lt;80% do target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single" w:color="E64A19" w:sz="1"/>
              <w:right w:val="none" w:sz="0"/>
            </w:tcBorders>
            <w:shd w:fill="E64A1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Como executar</w:t>
            </w:r>
          </w:p>
        </w:tc>
        <w:tc>
          <w:tcPr>
            <w:tcW w:type="dxa" w:w="78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1) Definir meta de run-rate por período (semana 1). 2) Automatizar coleta no Dashboard. 3) Incluir no WBR.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single" w:color="E64A19" w:sz="1"/>
              <w:right w:val="none" w:sz="0"/>
            </w:tcBorders>
            <w:shd w:fill="E64A1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Critério de pronto</w:t>
            </w:r>
          </w:p>
        </w:tc>
        <w:tc>
          <w:tcPr>
            <w:tcW w:type="dxa" w:w="78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Run-rate ≥4.000 ha/semana sustentado por 8+ semanas no Q2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single" w:color="E64A19" w:sz="1"/>
              <w:right w:val="none" w:sz="0"/>
            </w:tcBorders>
            <w:shd w:fill="E64A1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Evidências</w:t>
            </w:r>
          </w:p>
        </w:tc>
        <w:tc>
          <w:tcPr>
            <w:tcW w:type="dxa" w:w="78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Dashboard com série temporal + alertas registrados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single" w:color="E64A19" w:sz="1"/>
              <w:right w:val="none" w:sz="0"/>
            </w:tcBorders>
            <w:shd w:fill="E64A1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Riscos</w:t>
            </w:r>
          </w:p>
        </w:tc>
        <w:tc>
          <w:tcPr>
            <w:tcW w:type="dxa" w:w="78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Run-rate pode variar por sazonalidade — ajustar meta por trimestre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single" w:color="E64A19" w:sz="1"/>
              <w:right w:val="none" w:sz="0"/>
            </w:tcBorders>
            <w:shd w:fill="E64A1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Responsável</w:t>
            </w:r>
          </w:p>
        </w:tc>
        <w:tc>
          <w:tcPr>
            <w:tcW w:type="dxa" w:w="78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COO | Partners: P&amp;D/Dados</w:t>
            </w:r>
          </w:p>
        </w:tc>
      </w:tr>
    </w:tbl>
    <w:p>
      <w:r>
        <w:br w:type="page"/>
      </w:r>
    </w:p>
    <w:p>
      <w:pPr>
        <w:pBdr>
          <w:bottom w:val="single" w:color="2980B9" w:sz="6" w:space="4"/>
        </w:pBdr>
        <w:spacing w:before="360" w:after="160"/>
      </w:pPr>
      <w:r>
        <w:rPr>
          <w:rFonts w:ascii="Calibri Light" w:cs="Calibri Light" w:eastAsia="Calibri Light" w:hAnsi="Calibri Light"/>
          <w:b/>
          <w:bCs/>
          <w:color w:val="2980B9"/>
          <w:sz w:val="30"/>
          <w:szCs w:val="30"/>
        </w:rPr>
        <w:t xml:space="preserve">6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OP-P4 · Integração e Governança Operacional</w:t>
      </w:r>
    </w:p>
    <w:p>
      <w:pPr>
        <w:pBdr>
          <w:left w:val="single" w:color="283593" w:sz="16" w:space="8"/>
        </w:pBdr>
        <w:spacing w:before="100" w:after="60"/>
      </w:pPr>
      <w:r>
        <w:rPr>
          <w:rFonts w:ascii="Calibri" w:cs="Calibri" w:eastAsia="Calibri" w:hAnsi="Calibri"/>
          <w:b/>
          <w:bCs/>
          <w:color w:val="283593"/>
          <w:sz w:val="18"/>
          <w:szCs w:val="18"/>
        </w:rPr>
        <w:t xml:space="preserve">Índigo #283593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  |  KRs: KR-OP-4.1, 4.2, 4.3, 4.4, 4.5</w:t>
      </w:r>
    </w:p>
    <w:p>
      <w:pPr>
        <w:pBdr>
          <w:left w:val="single" w:color="283593" w:sz="12" w:space="8"/>
        </w:pBdr>
        <w:spacing w:before="200" w:after="60"/>
      </w:pPr>
      <w:r>
        <w:rPr>
          <w:rFonts w:ascii="Calibri" w:cs="Calibri" w:eastAsia="Calibri" w:hAnsi="Calibri"/>
          <w:b/>
          <w:bCs/>
          <w:color w:val="283593"/>
          <w:sz w:val="20"/>
          <w:szCs w:val="20"/>
        </w:rPr>
        <w:t xml:space="preserve">INIT-OP-011 — </w:t>
      </w:r>
      <w:r>
        <w:rPr>
          <w:rFonts w:ascii="Calibri" w:cs="Calibri" w:eastAsia="Calibri" w:hAnsi="Calibri"/>
          <w:b/>
          <w:bCs/>
          <w:color w:val="163B5C"/>
          <w:sz w:val="20"/>
          <w:szCs w:val="20"/>
        </w:rPr>
        <w:t xml:space="preserve">Mapa de pontos de passagem Op↔CS↔Dados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none" w:sz="0"/>
              <w:left w:val="none" w:sz="0"/>
              <w:bottom w:val="single" w:color="283593" w:sz="1"/>
              <w:right w:val="none" w:sz="0"/>
            </w:tcBorders>
            <w:shd w:fill="28359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Por que existe</w:t>
            </w:r>
          </w:p>
        </w:tc>
        <w:tc>
          <w:tcPr>
            <w:tcW w:type="dxa" w:w="78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Informação se perde entre áreas — CS não sabe status, P&amp;D não recebe dados, Op não recebe demanda qualificada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single" w:color="283593" w:sz="1"/>
              <w:right w:val="none" w:sz="0"/>
            </w:tcBorders>
            <w:shd w:fill="28359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 que muda</w:t>
            </w:r>
          </w:p>
        </w:tc>
        <w:tc>
          <w:tcPr>
            <w:tcW w:type="dxa" w:w="78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Mapa formal com: quem entrega o quê, para quem, quando, em que formato, com que SLA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single" w:color="283593" w:sz="1"/>
              <w:right w:val="none" w:sz="0"/>
            </w:tcBorders>
            <w:shd w:fill="28359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Como executar</w:t>
            </w:r>
          </w:p>
        </w:tc>
        <w:tc>
          <w:tcPr>
            <w:tcW w:type="dxa" w:w="78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1) Workshop Op+CS+P&amp;D (semana 1). 2) Documentar fluxos (semana 2). 3) Validar com Direção (semana 3). 4) Publicar e treinar.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single" w:color="283593" w:sz="1"/>
              <w:right w:val="none" w:sz="0"/>
            </w:tcBorders>
            <w:shd w:fill="28359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Critério de pronto</w:t>
            </w:r>
          </w:p>
        </w:tc>
        <w:tc>
          <w:tcPr>
            <w:tcW w:type="dxa" w:w="78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100% fluxos mapeados com dono e SLA definido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single" w:color="283593" w:sz="1"/>
              <w:right w:val="none" w:sz="0"/>
            </w:tcBorders>
            <w:shd w:fill="28359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Evidências</w:t>
            </w:r>
          </w:p>
        </w:tc>
        <w:tc>
          <w:tcPr>
            <w:tcW w:type="dxa" w:w="78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Documento de fluxo + ata de validação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single" w:color="283593" w:sz="1"/>
              <w:right w:val="none" w:sz="0"/>
            </w:tcBorders>
            <w:shd w:fill="28359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Riscos</w:t>
            </w:r>
          </w:p>
        </w:tc>
        <w:tc>
          <w:tcPr>
            <w:tcW w:type="dxa" w:w="78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Áreas podem discordar de responsabilidades — arbitragem pela Direção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single" w:color="283593" w:sz="1"/>
              <w:right w:val="none" w:sz="0"/>
            </w:tcBorders>
            <w:shd w:fill="28359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Responsável</w:t>
            </w:r>
          </w:p>
        </w:tc>
        <w:tc>
          <w:tcPr>
            <w:tcW w:type="dxa" w:w="78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COO + CS + P&amp;D | Aprovador: Direção</w:t>
            </w:r>
          </w:p>
        </w:tc>
      </w:tr>
    </w:tbl>
    <w:p>
      <w:pPr>
        <w:pBdr>
          <w:left w:val="single" w:color="283593" w:sz="12" w:space="8"/>
        </w:pBdr>
        <w:spacing w:before="200" w:after="60"/>
      </w:pPr>
      <w:r>
        <w:rPr>
          <w:rFonts w:ascii="Calibri" w:cs="Calibri" w:eastAsia="Calibri" w:hAnsi="Calibri"/>
          <w:b/>
          <w:bCs/>
          <w:color w:val="283593"/>
          <w:sz w:val="20"/>
          <w:szCs w:val="20"/>
        </w:rPr>
        <w:t xml:space="preserve">INIT-OP-012 — </w:t>
      </w:r>
      <w:r>
        <w:rPr>
          <w:rFonts w:ascii="Calibri" w:cs="Calibri" w:eastAsia="Calibri" w:hAnsi="Calibri"/>
          <w:b/>
          <w:bCs/>
          <w:color w:val="163B5C"/>
          <w:sz w:val="20"/>
          <w:szCs w:val="20"/>
        </w:rPr>
        <w:t xml:space="preserve">Onboarding COO — Plano 90 dias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none" w:sz="0"/>
              <w:left w:val="none" w:sz="0"/>
              <w:bottom w:val="single" w:color="283593" w:sz="1"/>
              <w:right w:val="none" w:sz="0"/>
            </w:tcBorders>
            <w:shd w:fill="28359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Por que existe</w:t>
            </w:r>
          </w:p>
        </w:tc>
        <w:tc>
          <w:tcPr>
            <w:tcW w:type="dxa" w:w="78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COO precisa absorver contexto, equipe, processos e métricas em tempo recorde para ser efetivo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single" w:color="283593" w:sz="1"/>
              <w:right w:val="none" w:sz="0"/>
            </w:tcBorders>
            <w:shd w:fill="28359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 que muda</w:t>
            </w:r>
          </w:p>
        </w:tc>
        <w:tc>
          <w:tcPr>
            <w:tcW w:type="dxa" w:w="78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Plano estruturado: 30d (absorção), 60d (liderança parcial), 90d (liderança plena)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single" w:color="283593" w:sz="1"/>
              <w:right w:val="none" w:sz="0"/>
            </w:tcBorders>
            <w:shd w:fill="28359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Como executar</w:t>
            </w:r>
          </w:p>
        </w:tc>
        <w:tc>
          <w:tcPr>
            <w:tcW w:type="dxa" w:w="78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1) Preparar pacote onboarding (antes da contratação). 2) Semana 1: imersão em campo + KPIs. 3) Mês 1: sombra da Direção. 4) Mês 2-3: transição progressiva.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single" w:color="283593" w:sz="1"/>
              <w:right w:val="none" w:sz="0"/>
            </w:tcBorders>
            <w:shd w:fill="28359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Critério de pronto</w:t>
            </w:r>
          </w:p>
        </w:tc>
        <w:tc>
          <w:tcPr>
            <w:tcW w:type="dxa" w:w="78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COO liderando 100% do WBR e ≥70% das decisões operacionais no mês 3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single" w:color="283593" w:sz="1"/>
              <w:right w:val="none" w:sz="0"/>
            </w:tcBorders>
            <w:shd w:fill="28359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Evidências</w:t>
            </w:r>
          </w:p>
        </w:tc>
        <w:tc>
          <w:tcPr>
            <w:tcW w:type="dxa" w:w="78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Checklist de onboarding + avaliação 30/60/90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single" w:color="283593" w:sz="1"/>
              <w:right w:val="none" w:sz="0"/>
            </w:tcBorders>
            <w:shd w:fill="28359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Riscos</w:t>
            </w:r>
          </w:p>
        </w:tc>
        <w:tc>
          <w:tcPr>
            <w:tcW w:type="dxa" w:w="78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COO pode não se adaptar à cultura — feedback estruturado no dia 30 e 60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single" w:color="283593" w:sz="1"/>
              <w:right w:val="none" w:sz="0"/>
            </w:tcBorders>
            <w:shd w:fill="28359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Responsável</w:t>
            </w:r>
          </w:p>
        </w:tc>
        <w:tc>
          <w:tcPr>
            <w:tcW w:type="dxa" w:w="78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Direção + RH | Partners: CS, Líderes de campo</w:t>
            </w:r>
          </w:p>
        </w:tc>
      </w:tr>
    </w:tbl>
    <w:p>
      <w:pPr>
        <w:pBdr>
          <w:left w:val="single" w:color="283593" w:sz="12" w:space="8"/>
        </w:pBdr>
        <w:spacing w:before="200" w:after="60"/>
      </w:pPr>
      <w:r>
        <w:rPr>
          <w:rFonts w:ascii="Calibri" w:cs="Calibri" w:eastAsia="Calibri" w:hAnsi="Calibri"/>
          <w:b/>
          <w:bCs/>
          <w:color w:val="283593"/>
          <w:sz w:val="20"/>
          <w:szCs w:val="20"/>
        </w:rPr>
        <w:t xml:space="preserve">INIT-OP-013 — </w:t>
      </w:r>
      <w:r>
        <w:rPr>
          <w:rFonts w:ascii="Calibri" w:cs="Calibri" w:eastAsia="Calibri" w:hAnsi="Calibri"/>
          <w:b/>
          <w:bCs/>
          <w:color w:val="163B5C"/>
          <w:sz w:val="20"/>
          <w:szCs w:val="20"/>
        </w:rPr>
        <w:t xml:space="preserve">Padronização coleta de dados em campo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none" w:sz="0"/>
              <w:left w:val="none" w:sz="0"/>
              <w:bottom w:val="single" w:color="283593" w:sz="1"/>
              <w:right w:val="none" w:sz="0"/>
            </w:tcBorders>
            <w:shd w:fill="28359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Por que existe</w:t>
            </w:r>
          </w:p>
        </w:tc>
        <w:tc>
          <w:tcPr>
            <w:tcW w:type="dxa" w:w="78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P&amp;D precisa de dados padronizados para prova de valor; coleta atual é inconsistente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single" w:color="283593" w:sz="1"/>
              <w:right w:val="none" w:sz="0"/>
            </w:tcBorders>
            <w:shd w:fill="28359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 que muda</w:t>
            </w:r>
          </w:p>
        </w:tc>
        <w:tc>
          <w:tcPr>
            <w:tcW w:type="dxa" w:w="78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Formulário padrão de coleta em cada operação com campos mínimos definidos por P&amp;D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single" w:color="283593" w:sz="1"/>
              <w:right w:val="none" w:sz="0"/>
            </w:tcBorders>
            <w:shd w:fill="28359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Como executar</w:t>
            </w:r>
          </w:p>
        </w:tc>
        <w:tc>
          <w:tcPr>
            <w:tcW w:type="dxa" w:w="78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1) P&amp;D define campos mínimos (semana 1). 2) Criar formulário digital ou papel (semana 2). 3) Treinar equipe (semana 3). 4) Piloto 2 semanas. 5) Roll-out.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single" w:color="283593" w:sz="1"/>
              <w:right w:val="none" w:sz="0"/>
            </w:tcBorders>
            <w:shd w:fill="28359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Critério de pronto</w:t>
            </w:r>
          </w:p>
        </w:tc>
        <w:tc>
          <w:tcPr>
            <w:tcW w:type="dxa" w:w="78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≥80% operações com dados completos por 4+ semanas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single" w:color="283593" w:sz="1"/>
              <w:right w:val="none" w:sz="0"/>
            </w:tcBorders>
            <w:shd w:fill="28359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Evidências</w:t>
            </w:r>
          </w:p>
        </w:tc>
        <w:tc>
          <w:tcPr>
            <w:tcW w:type="dxa" w:w="78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Formulários preenchidos + relatório de completude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single" w:color="283593" w:sz="1"/>
              <w:right w:val="none" w:sz="0"/>
            </w:tcBorders>
            <w:shd w:fill="28359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Riscos</w:t>
            </w:r>
          </w:p>
        </w:tc>
        <w:tc>
          <w:tcPr>
            <w:tcW w:type="dxa" w:w="78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Formulário complexo demais reduz adesão — máximo 10 campos, ≤5 min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single" w:color="283593" w:sz="1"/>
              <w:right w:val="none" w:sz="0"/>
            </w:tcBorders>
            <w:shd w:fill="28359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Responsável</w:t>
            </w:r>
          </w:p>
        </w:tc>
        <w:tc>
          <w:tcPr>
            <w:tcW w:type="dxa" w:w="78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COO + P&amp;D | Partners: Líderes de campo</w:t>
            </w:r>
          </w:p>
        </w:tc>
      </w:tr>
    </w:tbl>
    <w:p>
      <w:r>
        <w:br w:type="page"/>
      </w:r>
    </w:p>
    <w:p>
      <w:pPr>
        <w:pBdr>
          <w:bottom w:val="single" w:color="2980B9" w:sz="6" w:space="4"/>
        </w:pBdr>
        <w:spacing w:before="360" w:after="160"/>
      </w:pPr>
      <w:r>
        <w:rPr>
          <w:rFonts w:ascii="Calibri Light" w:cs="Calibri Light" w:eastAsia="Calibri Light" w:hAnsi="Calibri Light"/>
          <w:b/>
          <w:bCs/>
          <w:color w:val="2980B9"/>
          <w:sz w:val="30"/>
          <w:szCs w:val="30"/>
        </w:rPr>
        <w:t xml:space="preserve">7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Plano de 90 Dias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200"/>
        <w:gridCol w:w="2200"/>
        <w:gridCol w:w="2280"/>
      </w:tblGrid>
      <w:tr>
        <w:tc>
          <w:tcPr>
            <w:tcW w:type="dxa" w:w="1200"/>
            <w:tcBorders>
              <w:top w:val="none" w:sz="0"/>
              <w:left w:val="none" w:sz="0"/>
              <w:bottom w:val="none" w:sz="0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Período</w:t>
            </w:r>
          </w:p>
        </w:tc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OP-P1 · Capacidade</w:t>
            </w:r>
          </w:p>
        </w:tc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OP-P2 · Qualidade</w:t>
            </w:r>
          </w:p>
        </w:tc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OP-P3 · Execução</w:t>
            </w:r>
          </w:p>
        </w:tc>
        <w:tc>
          <w:tcPr>
            <w:tcW w:type="dxa" w:w="2280"/>
            <w:tcBorders>
              <w:top w:val="none" w:sz="0"/>
              <w:left w:val="none" w:sz="0"/>
              <w:bottom w:val="none" w:sz="0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OP-P4 · Integração</w:t>
            </w:r>
          </w:p>
        </w:tc>
      </w:tr>
      <w:tr>
        <w:tc>
          <w:tcPr>
            <w:tcW w:type="dxa" w:w="1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30 dias (mar/2026)</w:t>
            </w:r>
          </w:p>
        </w:tc>
        <w:tc>
          <w:tcPr>
            <w:tcW w:type="dxa" w:w="2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Planejamento semanal implantado; dashboard de backlog operante; manutenção preventiva iniciada</w:t>
            </w:r>
          </w:p>
        </w:tc>
        <w:tc>
          <w:tcPr>
            <w:tcW w:type="dxa" w:w="2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Baseline retrabalho fechado; checklist padronizado em piloto</w:t>
            </w:r>
          </w:p>
        </w:tc>
        <w:tc>
          <w:tcPr>
            <w:tcW w:type="dxa" w:w="2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Plano Top-14 ativo; aceleração saldo Q1 em execução</w:t>
            </w:r>
          </w:p>
        </w:tc>
        <w:tc>
          <w:tcPr>
            <w:tcW w:type="dxa" w:w="22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60 dias (abr/2026)</w:t>
            </w:r>
          </w:p>
        </w:tc>
        <w:tc>
          <w:tcPr>
            <w:tcW w:type="dxa" w:w="2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Previsão 30/60/90 publicada; aderência ≥70%</w:t>
            </w:r>
          </w:p>
        </w:tc>
        <w:tc>
          <w:tcPr>
            <w:tcW w:type="dxa" w:w="2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SLA publicado e treinado; aderência medida; medição retrabalho mensal</w:t>
            </w:r>
          </w:p>
        </w:tc>
        <w:tc>
          <w:tcPr>
            <w:tcW w:type="dxa" w:w="2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Run-rate ≥3.500 ha/sem; saldo "Baixa Exec" em redução</w:t>
            </w:r>
          </w:p>
        </w:tc>
        <w:tc>
          <w:tcPr>
            <w:tcW w:type="dxa" w:w="22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Pontos passagem Op↔CS↔Dados definidos; protocolo contingência climática</w:t>
            </w:r>
          </w:p>
        </w:tc>
      </w:tr>
      <w:tr>
        <w:tc>
          <w:tcPr>
            <w:tcW w:type="dxa" w:w="1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90 dias (mai-jun/2026)</w:t>
            </w:r>
          </w:p>
        </w:tc>
        <w:tc>
          <w:tcPr>
            <w:tcW w:type="dxa" w:w="2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Aderência previsão ≥80%; otimização rotas iniciada</w:t>
            </w:r>
          </w:p>
        </w:tc>
        <w:tc>
          <w:tcPr>
            <w:tcW w:type="dxa" w:w="2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Aderência SLA ≥85%; retrabalho -10% vs baseline</w:t>
            </w:r>
          </w:p>
        </w:tc>
        <w:tc>
          <w:tcPr>
            <w:tcW w:type="dxa" w:w="2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Run-rate ≥4.000 ha/sem; saldo ≤30%</w:t>
            </w:r>
          </w:p>
        </w:tc>
        <w:tc>
          <w:tcPr>
            <w:tcW w:type="dxa" w:w="22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COO contratado e em onboarding; coleta dados padronizada em piloto</w:t>
            </w:r>
          </w:p>
        </w:tc>
      </w:tr>
    </w:tbl>
    <w:p>
      <w:pPr>
        <w:pBdr>
          <w:left w:val="single" w:color="B8860B" w:sz="12" w:space="8"/>
        </w:pBdr>
        <w:spacing w:before="100" w:after="100" w:line="264"/>
        <w:ind w:left="2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O plano 90 dias pressupõe COO contratado até jun/2026. Até lá, Direção Executiva é responsável por liderar os marcos de 30 e 60 dias. Ajuste de timeline se contratação atrasar.</w:t>
      </w:r>
    </w:p>
    <w:p>
      <w:pPr>
        <w:pBdr>
          <w:bottom w:val="single" w:color="2980B9" w:sz="6" w:space="4"/>
        </w:pBdr>
        <w:spacing w:before="360" w:after="160"/>
      </w:pPr>
      <w:r>
        <w:rPr>
          <w:rFonts w:ascii="Calibri Light" w:cs="Calibri Light" w:eastAsia="Calibri Light" w:hAnsi="Calibri Light"/>
          <w:b/>
          <w:bCs/>
          <w:color w:val="2980B9"/>
          <w:sz w:val="30"/>
          <w:szCs w:val="30"/>
        </w:rPr>
        <w:t xml:space="preserve">8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Cadência e Governança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2000"/>
        <w:gridCol w:w="4880"/>
      </w:tblGrid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Rito</w:t>
            </w:r>
          </w:p>
        </w:tc>
        <w:tc>
          <w:tcPr>
            <w:tcW w:type="dxa" w:w="1000"/>
            <w:tcBorders>
              <w:top w:val="none" w:sz="0"/>
              <w:left w:val="none" w:sz="0"/>
              <w:bottom w:val="none" w:sz="0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Freq.</w:t>
            </w:r>
          </w:p>
        </w:tc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Dono</w:t>
            </w:r>
          </w:p>
        </w:tc>
        <w:tc>
          <w:tcPr>
            <w:tcW w:type="dxa" w:w="4880"/>
            <w:tcBorders>
              <w:top w:val="none" w:sz="0"/>
              <w:left w:val="none" w:sz="0"/>
              <w:bottom w:val="none" w:sz="0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Pauta principal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Standup campo</w:t>
            </w:r>
          </w:p>
        </w:tc>
        <w:tc>
          <w:tcPr>
            <w:tcW w:type="dxa" w:w="10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Diário</w:t>
            </w:r>
          </w:p>
        </w:tc>
        <w:tc>
          <w:tcPr>
            <w:tcW w:type="dxa" w:w="20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Líder campo</w:t>
            </w:r>
          </w:p>
        </w:tc>
        <w:tc>
          <w:tcPr>
            <w:tcW w:type="dxa" w:w="48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Status, impedimentos imediatos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WBR Operação</w:t>
            </w:r>
          </w:p>
        </w:tc>
        <w:tc>
          <w:tcPr>
            <w:tcW w:type="dxa" w:w="10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Semanal</w:t>
            </w:r>
          </w:p>
        </w:tc>
        <w:tc>
          <w:tcPr>
            <w:tcW w:type="dxa" w:w="20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COO/Direção</w:t>
            </w:r>
          </w:p>
        </w:tc>
        <w:tc>
          <w:tcPr>
            <w:tcW w:type="dxa" w:w="48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Vazão, alocação, semáforos INIT, SLA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Sala de Situação</w:t>
            </w:r>
          </w:p>
        </w:tc>
        <w:tc>
          <w:tcPr>
            <w:tcW w:type="dxa" w:w="10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Semanal</w:t>
            </w:r>
          </w:p>
        </w:tc>
        <w:tc>
          <w:tcPr>
            <w:tcW w:type="dxa" w:w="20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Direção</w:t>
            </w:r>
          </w:p>
        </w:tc>
        <w:tc>
          <w:tcPr>
            <w:tcW w:type="dxa" w:w="48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Priorização Top-14, saldo, demanda CS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MBR Operação</w:t>
            </w:r>
          </w:p>
        </w:tc>
        <w:tc>
          <w:tcPr>
            <w:tcW w:type="dxa" w:w="10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Mensal</w:t>
            </w:r>
          </w:p>
        </w:tc>
        <w:tc>
          <w:tcPr>
            <w:tcW w:type="dxa" w:w="20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COO/Direção</w:t>
            </w:r>
          </w:p>
        </w:tc>
        <w:tc>
          <w:tcPr>
            <w:tcW w:type="dxa" w:w="48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Placar, custo/ha, retrabalho, margem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QBR Operação</w:t>
            </w:r>
          </w:p>
        </w:tc>
        <w:tc>
          <w:tcPr>
            <w:tcW w:type="dxa" w:w="10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Trimestral</w:t>
            </w:r>
          </w:p>
        </w:tc>
        <w:tc>
          <w:tcPr>
            <w:tcW w:type="dxa" w:w="20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Direção</w:t>
            </w:r>
          </w:p>
        </w:tc>
        <w:tc>
          <w:tcPr>
            <w:tcW w:type="dxa" w:w="48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Capacidade vs demanda, cenários, envelope</w:t>
            </w:r>
          </w:p>
        </w:tc>
      </w:tr>
    </w:tbl>
    <w:p>
      <w:pPr>
        <w:pBdr>
          <w:bottom w:val="single" w:color="2980B9" w:sz="6" w:space="4"/>
        </w:pBdr>
        <w:spacing w:before="360" w:after="160"/>
      </w:pPr>
      <w:r>
        <w:rPr>
          <w:rFonts w:ascii="Calibri Light" w:cs="Calibri Light" w:eastAsia="Calibri Light" w:hAnsi="Calibri Light"/>
          <w:b/>
          <w:bCs/>
          <w:color w:val="2980B9"/>
          <w:sz w:val="30"/>
          <w:szCs w:val="30"/>
        </w:rPr>
        <w:t xml:space="preserve">9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Glossário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80"/>
      </w:tblGrid>
      <w:tr>
        <w:tc>
          <w:tcPr>
            <w:tcW w:type="dxa" w:w="2500"/>
            <w:tcBorders>
              <w:top w:val="none" w:sz="0"/>
              <w:left w:val="none" w:sz="0"/>
              <w:bottom w:val="none" w:sz="0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Termo</w:t>
            </w:r>
          </w:p>
        </w:tc>
        <w:tc>
          <w:tcPr>
            <w:tcW w:type="dxa" w:w="7580"/>
            <w:tcBorders>
              <w:top w:val="none" w:sz="0"/>
              <w:left w:val="none" w:sz="0"/>
              <w:bottom w:val="none" w:sz="0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Significado</w:t>
            </w:r>
          </w:p>
        </w:tc>
      </w:tr>
      <w:tr>
        <w:tc>
          <w:tcPr>
            <w:tcW w:type="dxa" w:w="25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INIT</w:t>
            </w:r>
          </w:p>
        </w:tc>
        <w:tc>
          <w:tcPr>
            <w:tcW w:type="dxa" w:w="75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Iniciativa — ação concreta com entregável e prazo</w:t>
            </w:r>
          </w:p>
        </w:tc>
      </w:tr>
      <w:tr>
        <w:tc>
          <w:tcPr>
            <w:tcW w:type="dxa" w:w="25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Cartão Didático</w:t>
            </w:r>
          </w:p>
        </w:tc>
        <w:tc>
          <w:tcPr>
            <w:tcW w:type="dxa" w:w="75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Formato de comunicação de INIT para intermediários operacionais</w:t>
            </w:r>
          </w:p>
        </w:tc>
      </w:tr>
      <w:tr>
        <w:tc>
          <w:tcPr>
            <w:tcW w:type="dxa" w:w="25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Run-rate</w:t>
            </w:r>
          </w:p>
        </w:tc>
        <w:tc>
          <w:tcPr>
            <w:tcW w:type="dxa" w:w="75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Velocidade de execução (ha/semana)</w:t>
            </w:r>
          </w:p>
        </w:tc>
      </w:tr>
      <w:tr>
        <w:tc>
          <w:tcPr>
            <w:tcW w:type="dxa" w:w="25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SLA</w:t>
            </w:r>
          </w:p>
        </w:tc>
        <w:tc>
          <w:tcPr>
            <w:tcW w:type="dxa" w:w="75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Padrão mínimo de qualidade mensurável</w:t>
            </w:r>
          </w:p>
        </w:tc>
      </w:tr>
      <w:tr>
        <w:tc>
          <w:tcPr>
            <w:tcW w:type="dxa" w:w="25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Baseline</w:t>
            </w:r>
          </w:p>
        </w:tc>
        <w:tc>
          <w:tcPr>
            <w:tcW w:type="dxa" w:w="75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Número de referência para medir melhoria</w:t>
            </w:r>
          </w:p>
        </w:tc>
      </w:tr>
      <w:tr>
        <w:tc>
          <w:tcPr>
            <w:tcW w:type="dxa" w:w="25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Pareto Top-14</w:t>
            </w:r>
          </w:p>
        </w:tc>
        <w:tc>
          <w:tcPr>
            <w:tcW w:type="dxa" w:w="75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14 contratantes prioritários por saldo</w:t>
            </w:r>
          </w:p>
        </w:tc>
      </w:tr>
      <w:tr>
        <w:tc>
          <w:tcPr>
            <w:tcW w:type="dxa" w:w="25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Ponto de passagem</w:t>
            </w:r>
          </w:p>
        </w:tc>
        <w:tc>
          <w:tcPr>
            <w:tcW w:type="dxa" w:w="75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Handoff formal entre áreas (Op↔CS↔Dados)</w:t>
            </w:r>
          </w:p>
        </w:tc>
      </w:tr>
      <w:tr>
        <w:tc>
          <w:tcPr>
            <w:tcW w:type="dxa" w:w="25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Plano 7/14/30</w:t>
            </w:r>
          </w:p>
        </w:tc>
        <w:tc>
          <w:tcPr>
            <w:tcW w:type="dxa" w:w="75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Plano de ação escalonado: 7, 14 e 30 dias</w:t>
            </w:r>
          </w:p>
        </w:tc>
      </w:tr>
    </w:tbl>
    <w:p>
      <w:pPr>
        <w:pBdr>
          <w:top w:val="single" w:color="94A3B8" w:sz="4" w:space="8"/>
        </w:pBdr>
        <w:spacing w:before="400"/>
      </w:pPr>
      <w:r>
        <w:rPr>
          <w:rFonts w:ascii="Calibri" w:cs="Calibri" w:eastAsia="Calibri" w:hAnsi="Calibri"/>
          <w:i/>
          <w:iCs/>
          <w:color w:val="94A3B8"/>
          <w:sz w:val="16"/>
          <w:szCs w:val="16"/>
        </w:rPr>
        <w:t xml:space="preserve">DOC 11-D.2 v2 — Caderno Setorial Operação · Execução — Revisão mar/2026 — Bloco B5</w:t>
      </w:r>
    </w:p>
    <w:p>
      <w:r>
        <w:rPr>
          <w:rFonts w:ascii="Calibri" w:cs="Calibri" w:eastAsia="Calibri" w:hAnsi="Calibri"/>
          <w:i/>
          <w:iCs/>
          <w:color w:val="94A3B8"/>
          <w:sz w:val="16"/>
          <w:szCs w:val="16"/>
        </w:rPr>
        <w:t xml:space="preserve">Aero Engenharia + Techdengue · Confidencial — Uso Interno da Direção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Calibri" w:cs="Calibri" w:eastAsia="Calibri" w:hAnsi="Calibri"/>
        <w:color w:val="94A3B8"/>
        <w:sz w:val="14"/>
        <w:szCs w:val="14"/>
      </w:rPr>
      <w:t xml:space="preserve">Confidencial — Uso interno da Direção</w:t>
    </w:r>
    <w:r>
      <w:rPr>
        <w:sz w:val="14"/>
        <w:szCs w:val="14"/>
      </w:rPr>
      <w:t xml:space="preserve">	</w:t>
    </w:r>
    <w:r>
      <w:rPr>
        <w:rFonts w:ascii="Calibri" w:cs="Calibri" w:eastAsia="Calibri" w:hAnsi="Calibri"/>
        <w:color w:val="94A3B8"/>
        <w:sz w:val="14"/>
        <w:szCs w:val="14"/>
      </w:rPr>
      <w:t xml:space="preserve">Página </w:t>
    </w:r>
    <w:r>
      <w:rPr>
        <w:rFonts w:ascii="Calibri" w:cs="Calibri" w:eastAsia="Calibri" w:hAnsi="Calibri"/>
        <w:color w:val="94A3B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980B9" w:sz="2" w:space="4"/>
      </w:pBdr>
    </w:pPr>
    <w:r>
      <w:rPr>
        <w:rFonts w:ascii="Calibri" w:cs="Calibri" w:eastAsia="Calibri" w:hAnsi="Calibri"/>
        <w:b/>
        <w:bCs/>
        <w:color w:val="2980B9"/>
        <w:sz w:val="16"/>
        <w:szCs w:val="16"/>
      </w:rPr>
      <w:t xml:space="preserve">PE 2026</w:t>
    </w:r>
    <w:r>
      <w:rPr>
        <w:rFonts w:ascii="Calibri" w:cs="Calibri" w:eastAsia="Calibri" w:hAnsi="Calibri"/>
        <w:color w:val="94A3B8"/>
        <w:sz w:val="16"/>
        <w:szCs w:val="16"/>
      </w:rPr>
      <w:t xml:space="preserve">  |  Caderno Operação · Execução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2026-03-16T14:53:56.753Z</dcterms:created>
  <dcterms:modified xsi:type="dcterms:W3CDTF">2026-03-16T14:53:56.753Z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