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18" w:space="6"/>
        </w:pBdr>
      </w:pPr>
      <w:r>
        <w:rPr>
          <w:sz w:val="4"/>
          <w:szCs w:val="4"/>
        </w:rPr>
        <w:t xml:space="preserve"> </w:t>
      </w:r>
    </w:p>
    <w:p>
      <w:pPr>
        <w:spacing w:before="300" w:after="60"/>
      </w:pPr>
      <w:r>
        <w:rPr>
          <w:rFonts w:ascii="Calibri Light" w:cs="Calibri Light" w:eastAsia="Calibri Light" w:hAnsi="Calibri Light"/>
          <w:color w:val="94A3B8"/>
          <w:sz w:val="20"/>
          <w:szCs w:val="20"/>
        </w:rPr>
        <w:t xml:space="preserve">PE 2026</w:t>
      </w:r>
    </w:p>
    <w:p>
      <w:pPr>
        <w:spacing w:before="60" w:after="80"/>
      </w:pPr>
      <w:r>
        <w:rPr>
          <w:rFonts w:ascii="Calibri Light" w:cs="Calibri Light" w:eastAsia="Calibri Light" w:hAnsi="Calibri Light"/>
          <w:color w:val="0C2340"/>
          <w:sz w:val="48"/>
          <w:szCs w:val="48"/>
        </w:rPr>
        <w:t xml:space="preserve">Caderno Gerencial — Operação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Capacidade · Qualidade · Execução · Integração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Documento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 11-D v2 — Caderno Gerencial de Operação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 — Revisão mar/2026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Bloco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B5 — Integração e Rastreabilidade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Pilar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 — Escala Operacional com Margem, Qualidade e Prontidão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Pilar secundário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 — Crescimento com Tese e Monetização da Base Contratual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Sponsor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Owner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(contratação prioritária — Cal.#2)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r>
        <w:br w:type="page"/>
      </w:r>
    </w:p>
    <w:p>
      <w:pPr>
        <w:spacing w:before="200" w:after="20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Contexto e Justificativa Estratégica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3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2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Mandato da Operação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4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3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Fronteiras e Interfaces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5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4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Premissas e Restrições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6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5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Arquitetura Gerencial — Objetivos e Programas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7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6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Envelope Orçamentário 2026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8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7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Placar — KPIs e Guardrails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9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8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Governança WBR / MBR / QBR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10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9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Entregas Mínimas do Ano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10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10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Identidade Visual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11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11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Rastreabilidade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11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12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Glossário</w:t>
      </w:r>
      <w:r>
        <w:rPr>
          <w:rFonts w:ascii="Calibri" w:cs="Calibri" w:eastAsia="Calibri" w:hAnsi="Calibri"/>
          <w:color w:val="94A3B8"/>
          <w:sz w:val="19"/>
          <w:szCs w:val="19"/>
        </w:rPr>
        <w:ptab w:alignment="right" w:relativeTo="margin" w:leader="dot"/>
        <w:t xml:space="preserve">12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Contexto e Justificativa Estratégica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Operação é o núcleo de entrega da Aero Engenharia + Techdengue. Em 2025, executou 117.360 hectares de dispersão com custo operacional de R$8,22/ha — 24,2% abaixo do orçamento — e sustentou margem de 34,3% com 42,6% de capacidade ociosa. A estrutura atual comporta crescimento de até 50% em volume sem CAPEX proporcional, graças ao GAO de 1,91x.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Em 2026, a monetização da base contratual (P2) exige que Operação acelere a vazão de execução no Q1, reduza saldo contratual de 88.349 ha para ≤37.911 ha e implante planejamento semanal de capacidade. Simultaneamente, P3 demanda qualidade auditável (SLA ≥90%, retrabalho -20%) e integração estruturada com CS e Dados — pré-condição para o padrão sell-ready.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contratação do COO (Cal.#2, prioridade máxima) transformará a liderança operacional: de gestão direta pela Direção para gestão delegada com método, cadência e governança formal.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1.1 Gaps quantificados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278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 2025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2026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Planejamento de capacidade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 hoc, sem registro formal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 com publicação (KR-P3.2)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Previsibilidade e alocação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Retrabalho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baseline medido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Redução ≥20% vs baseline (KR-P3.3)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 e reputação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SLA/Padrão de qualidade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Informal, sem aderência medida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≥90% de aderência (KR-P3.4)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Confiança do contratante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Integração Op↔CS↔Dados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Informal, pontos de passagem ausentes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Pontos definidos (KR-P3.5)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Fluxo end-to-end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Liderança operacional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acumula gestão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contratado até jun/2026 (KR-P5.4)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Governança e escala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contratual elevado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88.349 ha pendentes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≤37.911 ha (KR-P2.2)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Receita e caixa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Mandato da Operação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Missão 2026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Executar a base contratual com velocidade, qualidade auditável e custo controlado, sustentando a tese de monetização e o padrão sell-ready.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contratual ≤25% do total; SLA ≥90%; retrabalho -20%; custo/ha ≤R$9,00; integração Op↔CS↔Dados operante.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Pilar primário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 — Escala Operacional com Margem, Qualidade e Prontidão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Pilar secundário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 — Crescimento com Tese e Monetização da Base Contratual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Líder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(quando contratado) — até lá, Direção Executiva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Equipe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15 colaboradores operacionais (9 Projetos + 6 Campo) + COO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Envelope 2026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R$1.050–1.200K (centro de custo Operações)</w:t>
            </w:r>
          </w:p>
        </w:tc>
      </w:tr>
    </w:tbl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2.1 O que Operação NÃO faz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 responsável</w:t>
            </w:r>
          </w:p>
        </w:tc>
      </w:tr>
      <w:tr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Relacionamento institucional com contratantes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(→ Comercial quando ativado)</w:t>
            </w:r>
          </w:p>
        </w:tc>
      </w:tr>
      <w:tr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Precificação e proposta comercial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Comercial / Direção</w:t>
            </w:r>
          </w:p>
        </w:tc>
      </w:tr>
      <w:tr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Produção de relatórios de prova de valor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P&amp;D / Dados</w:t>
            </w:r>
          </w:p>
        </w:tc>
      </w:tr>
      <w:tr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Decisão de priorização de carteira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 (Direção + CS + Op)</w:t>
            </w:r>
          </w:p>
        </w:tc>
      </w:tr>
      <w:tr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Contratação e desenvolvimento de equipe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 (com input do COO)</w:t>
            </w:r>
          </w:p>
        </w:tc>
      </w:tr>
      <w:tr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Aquisição de drones e equipamentos (CAPEX)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 / Direção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Fronteiras e Interfaces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480"/>
      </w:tblGrid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 com Operação</w:t>
            </w:r>
          </w:p>
        </w:tc>
        <w:tc>
          <w:tcPr>
            <w:tcW w:type="dxa" w:w="44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 de fronteira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Situação, status de execução, devolutivas</w:t>
            </w:r>
          </w:p>
        </w:tc>
        <w:tc>
          <w:tcPr>
            <w:tcW w:type="dxa" w:w="4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ativa demanda; Op executa e reporta status semanal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Comercial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Pipeline de novos contratos, cronograma de entrada</w:t>
            </w:r>
          </w:p>
        </w:tc>
        <w:tc>
          <w:tcPr>
            <w:tcW w:type="dxa" w:w="4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Comercial fecha; Op valida capacidade antes do commit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P&amp;D / Dados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Coleta de dados em campo, inputs para prova de valor</w:t>
            </w:r>
          </w:p>
        </w:tc>
        <w:tc>
          <w:tcPr>
            <w:tcW w:type="dxa" w:w="4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 coleta dados padronizados; P&amp;D analisa e produz evidência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Custo/ha, margem por operação, CAPEX</w:t>
            </w:r>
          </w:p>
        </w:tc>
        <w:tc>
          <w:tcPr>
            <w:tcW w:type="dxa" w:w="4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 consolida; Op fornece dados de campo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Contratações, treinamento, turnover operacional</w:t>
            </w:r>
          </w:p>
        </w:tc>
        <w:tc>
          <w:tcPr>
            <w:tcW w:type="dxa" w:w="4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 recruta; Op define perfil e valida com COO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Marketing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Cases operacionais, material de campo</w:t>
            </w:r>
          </w:p>
        </w:tc>
        <w:tc>
          <w:tcPr>
            <w:tcW w:type="dxa" w:w="4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 solicita; Op fornece com validação técnica</w:t>
            </w:r>
          </w:p>
        </w:tc>
      </w:tr>
    </w:tbl>
    <w:p>
      <w:pPr>
        <w:pBdr>
          <w:left w:val="single" w:color="0C2340" w:sz="12" w:space="8"/>
        </w:pBdr>
        <w:spacing w:before="100" w:after="100" w:line="264"/>
        <w:ind w:left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Regra geral: Operação é executora — não toma decisões de carteira nem de relacionamento institucional. A Sala de Situação é o ponto de arbitragem entre demanda (CS/Comercial) e capacidade (Op).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Premissas e Restrições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4.1 Premissas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428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Consequência se falhar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PM-01</w:t>
            </w:r>
          </w:p>
        </w:tc>
        <w:tc>
          <w:tcPr>
            <w:tcW w:type="dxa" w:w="5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contratado até jun/2026 (KR-P5.4)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mantém acúmulo — risco de gargalo no Q3/Q4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PM-02</w:t>
            </w:r>
          </w:p>
        </w:tc>
        <w:tc>
          <w:tcPr>
            <w:tcW w:type="dxa" w:w="5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 ociosa de 42,6% absorve crescimento de volume 2026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 volume crescer &gt;50%, necessário CAPEX adicional ou terceirização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PM-03</w:t>
            </w:r>
          </w:p>
        </w:tc>
        <w:tc>
          <w:tcPr>
            <w:tcW w:type="dxa" w:w="5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Frota e equipamentos operantes com manutenção preventiva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Parada não programada impacta SLA e custo/ha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PM-04</w:t>
            </w:r>
          </w:p>
        </w:tc>
        <w:tc>
          <w:tcPr>
            <w:tcW w:type="dxa" w:w="5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Integração Op↔CS↔Dados viável com ferramentas atuais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 ferramentas insuficientes, demanda investimento em sistema (IA/Automação)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PM-05</w:t>
            </w:r>
          </w:p>
        </w:tc>
        <w:tc>
          <w:tcPr>
            <w:tcW w:type="dxa" w:w="5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 mantém cadência semanal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Perda de visibilidade sobre saldo e priorização</w:t>
            </w:r>
          </w:p>
        </w:tc>
      </w:tr>
    </w:tbl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4.2 Restrições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428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Implicação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RS-01</w:t>
            </w:r>
          </w:p>
        </w:tc>
        <w:tc>
          <w:tcPr>
            <w:tcW w:type="dxa" w:w="5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Envelope máximo R$1.200K (centro Operações)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Qualquer expansão acima demanda aprovação da Direção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RS-02</w:t>
            </w:r>
          </w:p>
        </w:tc>
        <w:tc>
          <w:tcPr>
            <w:tcW w:type="dxa" w:w="5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Não há CAPEX novo no envelope Op — CAPEX é centro próprio (R$600–700K)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Drones e veículos fora do envelope operacional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RS-03</w:t>
            </w:r>
          </w:p>
        </w:tc>
        <w:tc>
          <w:tcPr>
            <w:tcW w:type="dxa" w:w="5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Safety floor de margem: 20% (Cal.#9)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Custo/ha não pode ultrapassar R$9,00 no cenário base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RS-04</w:t>
            </w:r>
          </w:p>
        </w:tc>
        <w:tc>
          <w:tcPr>
            <w:tcW w:type="dxa" w:w="5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Dependência regulatória — Resolução SES/MG expirada (Cal.#1)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Monitoramento até mar/2026; cenário de não-renovação em DOC 10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RS-05</w:t>
            </w:r>
          </w:p>
        </w:tc>
        <w:tc>
          <w:tcPr>
            <w:tcW w:type="dxa" w:w="5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Sazonalidade operacional — picos de demanda no Q1 e Q4</w:t>
            </w:r>
          </w:p>
        </w:tc>
        <w:tc>
          <w:tcPr>
            <w:tcW w:type="dxa" w:w="42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Planejamento de capacidade deve antecipar 60 dias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Arquitetura Gerencial — Objetivos e Programas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400"/>
        <w:gridCol w:w="2480"/>
      </w:tblGrid>
      <w:tr>
        <w:tc>
          <w:tcPr>
            <w:tcW w:type="dxa" w:w="1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 vinculado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KRs corporativos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O1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 previsível e planejada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OP-P1 · Capacidade e Planejamento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KR-P3.2, KR-P2.1, KR-P2.2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O2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Qualidade auditável e retrabalho mínimo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OP-P2 · Qualidade e Padrão SLA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KR-P3.3, KR-P3.4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O3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Vazão acelerada para monetização da base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OP-P3 · Execução e Vazão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KR-P2.1, KR-P2.2, KR-P2.4</w:t>
            </w:r>
          </w:p>
        </w:tc>
      </w:tr>
      <w:tr>
        <w:tc>
          <w:tcPr>
            <w:tcW w:type="dxa" w:w="1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O4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Integração operacional e governança com COO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OP-P4 · Integração e Governança Operacional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KR-P3.5, KR-P5.4, KR-P3.1</w:t>
            </w:r>
          </w:p>
        </w:tc>
      </w:tr>
    </w:tbl>
    <w:p>
      <w:pPr>
        <w:pBdr>
          <w:left w:val="single" w:color="37474F" w:sz="12" w:space="8"/>
        </w:pBdr>
        <w:spacing w:before="200" w:after="80"/>
      </w:pPr>
      <w:r>
        <w:rPr>
          <w:rFonts w:ascii="Calibri" w:cs="Calibri" w:eastAsia="Calibri" w:hAnsi="Calibri"/>
          <w:b/>
          <w:bCs/>
          <w:color w:val="37474F"/>
          <w:sz w:val="21"/>
          <w:szCs w:val="21"/>
        </w:rPr>
        <w:t xml:space="preserve">O1 — </w:t>
      </w:r>
      <w:r>
        <w:rPr>
          <w:rFonts w:ascii="Calibri" w:cs="Calibri" w:eastAsia="Calibri" w:hAnsi="Calibri"/>
          <w:b/>
          <w:bCs/>
          <w:color w:val="163B5C"/>
          <w:sz w:val="21"/>
          <w:szCs w:val="21"/>
        </w:rPr>
        <w:t xml:space="preserve">Capacidade previsível e planejada</w:t>
      </w:r>
    </w:p>
    <w:p>
      <w:pPr>
        <w:spacing w:before="40" w:after="40"/>
        <w:ind w:left="40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Programa: </w:t>
      </w:r>
      <w:r>
        <w:rPr>
          <w:rFonts w:ascii="Calibri" w:cs="Calibri" w:eastAsia="Calibri" w:hAnsi="Calibri"/>
          <w:b/>
          <w:bCs/>
          <w:color w:val="37474F"/>
          <w:sz w:val="18"/>
          <w:szCs w:val="18"/>
        </w:rPr>
        <w:t xml:space="preserve">OP-P1 · Capacidade e Planejamento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|  KRs: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KR-P3.2, KR-P2.1, KR-P2.2</w:t>
      </w:r>
    </w:p>
    <w:p>
      <w:pPr>
        <w:pBdr>
          <w:left w:val="single" w:color="00796B" w:sz="12" w:space="8"/>
        </w:pBdr>
        <w:spacing w:before="200" w:after="80"/>
      </w:pPr>
      <w:r>
        <w:rPr>
          <w:rFonts w:ascii="Calibri" w:cs="Calibri" w:eastAsia="Calibri" w:hAnsi="Calibri"/>
          <w:b/>
          <w:bCs/>
          <w:color w:val="00796B"/>
          <w:sz w:val="21"/>
          <w:szCs w:val="21"/>
        </w:rPr>
        <w:t xml:space="preserve">O2 — </w:t>
      </w:r>
      <w:r>
        <w:rPr>
          <w:rFonts w:ascii="Calibri" w:cs="Calibri" w:eastAsia="Calibri" w:hAnsi="Calibri"/>
          <w:b/>
          <w:bCs/>
          <w:color w:val="163B5C"/>
          <w:sz w:val="21"/>
          <w:szCs w:val="21"/>
        </w:rPr>
        <w:t xml:space="preserve">Qualidade auditável e retrabalho mínimo</w:t>
      </w:r>
    </w:p>
    <w:p>
      <w:pPr>
        <w:spacing w:before="40" w:after="40"/>
        <w:ind w:left="40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Programa: </w:t>
      </w:r>
      <w:r>
        <w:rPr>
          <w:rFonts w:ascii="Calibri" w:cs="Calibri" w:eastAsia="Calibri" w:hAnsi="Calibri"/>
          <w:b/>
          <w:bCs/>
          <w:color w:val="00796B"/>
          <w:sz w:val="18"/>
          <w:szCs w:val="18"/>
        </w:rPr>
        <w:t xml:space="preserve">OP-P2 · Qualidade e Padrão SLA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|  KRs: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KR-P3.3, KR-P3.4</w:t>
      </w:r>
    </w:p>
    <w:p>
      <w:pPr>
        <w:pBdr>
          <w:left w:val="single" w:color="E64A19" w:sz="12" w:space="8"/>
        </w:pBdr>
        <w:spacing w:before="200" w:after="80"/>
      </w:pPr>
      <w:r>
        <w:rPr>
          <w:rFonts w:ascii="Calibri" w:cs="Calibri" w:eastAsia="Calibri" w:hAnsi="Calibri"/>
          <w:b/>
          <w:bCs/>
          <w:color w:val="E64A19"/>
          <w:sz w:val="21"/>
          <w:szCs w:val="21"/>
        </w:rPr>
        <w:t xml:space="preserve">O3 — </w:t>
      </w:r>
      <w:r>
        <w:rPr>
          <w:rFonts w:ascii="Calibri" w:cs="Calibri" w:eastAsia="Calibri" w:hAnsi="Calibri"/>
          <w:b/>
          <w:bCs/>
          <w:color w:val="163B5C"/>
          <w:sz w:val="21"/>
          <w:szCs w:val="21"/>
        </w:rPr>
        <w:t xml:space="preserve">Vazão acelerada para monetização da base</w:t>
      </w:r>
    </w:p>
    <w:p>
      <w:pPr>
        <w:spacing w:before="40" w:after="40"/>
        <w:ind w:left="40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Programa: </w:t>
      </w:r>
      <w:r>
        <w:rPr>
          <w:rFonts w:ascii="Calibri" w:cs="Calibri" w:eastAsia="Calibri" w:hAnsi="Calibri"/>
          <w:b/>
          <w:bCs/>
          <w:color w:val="E64A19"/>
          <w:sz w:val="18"/>
          <w:szCs w:val="18"/>
        </w:rPr>
        <w:t xml:space="preserve">OP-P3 · Execução e Vazão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|  KRs: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KR-P2.1, KR-P2.2, KR-P2.4</w:t>
      </w:r>
    </w:p>
    <w:p>
      <w:pPr>
        <w:pBdr>
          <w:left w:val="single" w:color="283593" w:sz="12" w:space="8"/>
        </w:pBdr>
        <w:spacing w:before="200" w:after="80"/>
      </w:pPr>
      <w:r>
        <w:rPr>
          <w:rFonts w:ascii="Calibri" w:cs="Calibri" w:eastAsia="Calibri" w:hAnsi="Calibri"/>
          <w:b/>
          <w:bCs/>
          <w:color w:val="283593"/>
          <w:sz w:val="21"/>
          <w:szCs w:val="21"/>
        </w:rPr>
        <w:t xml:space="preserve">O4 — </w:t>
      </w:r>
      <w:r>
        <w:rPr>
          <w:rFonts w:ascii="Calibri" w:cs="Calibri" w:eastAsia="Calibri" w:hAnsi="Calibri"/>
          <w:b/>
          <w:bCs/>
          <w:color w:val="163B5C"/>
          <w:sz w:val="21"/>
          <w:szCs w:val="21"/>
        </w:rPr>
        <w:t xml:space="preserve">Integração operacional e governança com COO</w:t>
      </w:r>
    </w:p>
    <w:p>
      <w:pPr>
        <w:spacing w:before="40" w:after="40"/>
        <w:ind w:left="40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Programa: </w:t>
      </w:r>
      <w:r>
        <w:rPr>
          <w:rFonts w:ascii="Calibri" w:cs="Calibri" w:eastAsia="Calibri" w:hAnsi="Calibri"/>
          <w:b/>
          <w:bCs/>
          <w:color w:val="283593"/>
          <w:sz w:val="18"/>
          <w:szCs w:val="18"/>
        </w:rPr>
        <w:t xml:space="preserve">OP-P4 · Integração e Governança Operacional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|  KRs: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KR-P3.5, KR-P5.4, KR-P3.1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Envelope Orçamentário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2780"/>
      </w:tblGrid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estimada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Vínculo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Folha operacional (15 pessoas)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R$420–480K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Existente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O1, O3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Remuneração variável operacional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R$250–300K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Existente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O3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Viagens equipe técnica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R$260–300K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Existente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O3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Insumos operacionais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R$80–100K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Existente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O2, O3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Frota (combustível + manutenção)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R$70–90K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Existente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O1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(entrada Q2, R$18–22K/mês + perf.)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R$140–200K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Novo — Cal.#2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O4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Contingência (5%)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R$50–60K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Reserva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TOTAL estimado (dentro do envelope)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R$1.050–1.200K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Aprovado</w:t>
            </w:r>
          </w:p>
        </w:tc>
        <w:tc>
          <w:tcPr>
            <w:tcW w:type="dxa" w:w="27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left w:val="single" w:color="B8860B" w:sz="12" w:space="8"/>
        </w:pBdr>
        <w:spacing w:before="100" w:after="100" w:line="264"/>
        <w:ind w:left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Nota: CAPEX (drones, veículos, equipamentos) não integra o envelope de Operações — é centro de custo próprio (Investimentos: R$600–700K em 2026, -45% vs 2025). O custo do COO é compartilhado com Estratégico se o escopo incluir governança corporativa.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6.1 Referência 2025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90"/>
        <w:gridCol w:w="3290"/>
      </w:tblGrid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29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2025</w:t>
            </w:r>
          </w:p>
        </w:tc>
        <w:tc>
          <w:tcPr>
            <w:tcW w:type="dxa" w:w="329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Projeção 2026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Operações — real</w:t>
            </w:r>
          </w:p>
        </w:tc>
        <w:tc>
          <w:tcPr>
            <w:tcW w:type="dxa" w:w="329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R$965K</w:t>
            </w:r>
          </w:p>
        </w:tc>
        <w:tc>
          <w:tcPr>
            <w:tcW w:type="dxa" w:w="329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R$1.050–1.200K (+9–24%)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Operações — orçado</w:t>
            </w:r>
          </w:p>
        </w:tc>
        <w:tc>
          <w:tcPr>
            <w:tcW w:type="dxa" w:w="329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R$1.273K</w:t>
            </w:r>
          </w:p>
        </w:tc>
        <w:tc>
          <w:tcPr>
            <w:tcW w:type="dxa" w:w="329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Economia vs orçamento</w:t>
            </w:r>
          </w:p>
        </w:tc>
        <w:tc>
          <w:tcPr>
            <w:tcW w:type="dxa" w:w="329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-R$307K (-24,2%)</w:t>
            </w:r>
          </w:p>
        </w:tc>
        <w:tc>
          <w:tcPr>
            <w:tcW w:type="dxa" w:w="329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Meta: dentro do envelope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 operacional / hectare</w:t>
            </w:r>
          </w:p>
        </w:tc>
        <w:tc>
          <w:tcPr>
            <w:tcW w:type="dxa" w:w="329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R$8,22</w:t>
            </w:r>
          </w:p>
        </w:tc>
        <w:tc>
          <w:tcPr>
            <w:tcW w:type="dxa" w:w="329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≤R$9,00 (guardrail)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 operacional / receita</w:t>
            </w:r>
          </w:p>
        </w:tc>
        <w:tc>
          <w:tcPr>
            <w:tcW w:type="dxa" w:w="329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9,4%</w:t>
            </w:r>
          </w:p>
        </w:tc>
        <w:tc>
          <w:tcPr>
            <w:tcW w:type="dxa" w:w="329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≤10% (guardrail)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Placar — KPIs e Guardrails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7.1 KPIs de resultado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1600"/>
        <w:gridCol w:w="288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2026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Vínculo KR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Hectares executados (acumulado)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≥200.000 ha/ano (cenário base)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 Op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KR-P2.1, P2.2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contratual pendente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≤25% do total até dez/2026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KR-P2.4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 operacional / hectare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≤R$9,00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KR-P3.1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Aderência ao SLA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≥90%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Checklist Op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KR-P3.4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Índice de retrabalho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-20% vs baseline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Op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KR-P3.3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 planejada vs executada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≥85% aderência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Planejamento Op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KR-P3.2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Pontos de passagem Op↔CS↔Dados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 definidos até abr/2026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Mapa de fluxo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KR-P3.5</w:t>
            </w:r>
          </w:p>
        </w:tc>
      </w:tr>
    </w:tbl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7.2 Guardrails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40"/>
        <w:gridCol w:w="504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Guardrail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 se violado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Custo/ha máximo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R$9,00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Revisão de rota + alerta MBR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 Op / Receita máximo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10%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Revisão de alocação com Financeiro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Turnover operacional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≤35% (KR-P5.1)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de retenção emergencial com RH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Parada não programada de frota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≤2 por mês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Manutenção preventiva acelerada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contratual &gt;50% em Q3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Limite crítico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 extraordinária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Governança WBR / MBR / QBR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400"/>
        <w:gridCol w:w="2680"/>
      </w:tblGrid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Pauta principal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 (semanal)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+ líderes de campo + CS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Vazão semanal, impedimentos, alocação próxima semana, semáforos INIT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Ata com decisões e próximas ações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MBR (mensal)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+ Direção + Financeiro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Custo/ha, SLA, retrabalho, saldo contratual, margem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Placar MBR com desvios e plano de ação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QBR (trimestral)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+ COO + CS + Comercial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 vs demanda, cenários Q+1, revisão de envelope, decisões estruturais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Relatório QBR com recomendações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Entregas Mínimas do Ano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000"/>
        <w:gridCol w:w="248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Planejamento semanal de capacidade operante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publicado por semana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→ COO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 de retrabalho fechado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Documento com método e número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→ COO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SLA mínimo definido e medido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Checklist + aderência publicada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Pontos de passagem Op↔CS↔Dados definidos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Mapa de fluxo formalizado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+ CS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contratado e em onboarding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Jun/2026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Contrato + plano 90 dias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 + Direção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contratual ≤25%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Dez/2026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Dashboard com saldo acumulado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Custo/ha ≤R$9,00 anual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Dez/2026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Apuração Financeiro MBR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+ Financeiro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Identidade Visual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200"/>
        <w:gridCol w:w="308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0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Amostra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OP-P1 · Capacidade e Planejamento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Azul Aço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#37474F</w:t>
            </w:r>
          </w:p>
        </w:tc>
        <w:tc>
          <w:tcPr>
            <w:tcW w:type="dxa" w:w="3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████████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OP-P2 · Qualidade e Padrão SLA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Jade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#00796B</w:t>
            </w:r>
          </w:p>
        </w:tc>
        <w:tc>
          <w:tcPr>
            <w:tcW w:type="dxa" w:w="3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████████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OP-P3 · Execução e Vazão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Laranja Queimado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#E64A19</w:t>
            </w:r>
          </w:p>
        </w:tc>
        <w:tc>
          <w:tcPr>
            <w:tcW w:type="dxa" w:w="3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████████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OP-P4 · Integração e Governança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Índigo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#283593</w:t>
            </w:r>
          </w:p>
        </w:tc>
        <w:tc>
          <w:tcPr>
            <w:tcW w:type="dxa" w:w="30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████████</w:t>
            </w:r>
          </w:p>
        </w:tc>
      </w:tr>
    </w:tbl>
    <w:p>
      <w:pPr>
        <w:pBdr>
          <w:left w:val="single" w:color="0E8C6B" w:sz="12" w:space="8"/>
        </w:pBdr>
        <w:spacing w:before="100" w:after="100" w:line="264"/>
        <w:ind w:left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Cores estruturais do PE2026 (navy #0C2340, accent #2980B9) aplicam-se a elementos genéricos. As cores por programa identificam visualmente cada frente nos dashboards, semáforos e materiais WBR.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Rastreabilidade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11.1 Decisões registradas (DECs)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400"/>
        <w:gridCol w:w="2880"/>
      </w:tblGrid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DEC-OP-01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 como líder direto de Operação (Cal.#2)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Fev/2026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Governança operacional delegada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DEC-OP-02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Envelope Operações R$1.050–1.200K aprovado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Fev/2026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Limite de despesa definido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DEC-OP-03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 programas operacionais aprovados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Estrutura de execução definida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DEC-OP-04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Paleta de cores OP aprovada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Identidade visual padronizada</w:t>
            </w:r>
          </w:p>
        </w:tc>
      </w:tr>
    </w:tbl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11.2 Dependências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88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Natureza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 (KR-P5.4)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 (O4)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Contratação do COO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 andamento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(Sala de Situação)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 (O3)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Demanda priorizada para execução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Operante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P&amp;D / Dados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 (O4)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Formato de coleta de dados em campo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 definir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 (O1)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Apuração mensal custo/ha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 (status execução)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Informação para devolutiva ao contratante</w:t>
            </w:r>
          </w:p>
        </w:tc>
        <w:tc>
          <w:tcPr>
            <w:tcW w:type="dxa" w:w="28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Operante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none" w:sz="0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Chief Operating Officer — liderança operacional contratação prioritária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Custo/ha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Custo operacional dividido por hectares executados — indicador de eficiência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SLA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Service Level Agreement — padrão mínimo de qualidade de entrega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Retrabalho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Hectares que precisaram ser re-executados por falha de qualidade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War room semanal de priorização da base contratual (P2)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Run-rate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Vazão de execução por período (ha/semana ou ha/mês)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 ociosa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Diferença entre capacidade máxima e execução real (42,6% em 2025)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GAO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Grau de Alavancagem Operacional — 1,91x (escala sem custo proporcional)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Ponto de passagem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Handoff formal entre áreas (Op→CS, CS→Op, Op→Dados)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EVID-*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Código de evidência — comprovação de execução de uma iniciativa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Envelope</w:t>
            </w:r>
          </w:p>
        </w:tc>
        <w:tc>
          <w:tcPr>
            <w:tcW w:type="dxa" w:w="7580"/>
            <w:tcBorders>
              <w:top w:val="none" w:sz="0"/>
              <w:left w:val="none" w:sz="0"/>
              <w:bottom w:val="single" w:color="D0D5DD" w:sz="1"/>
              <w:right w:val="none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Limite macro de despesa por área, sem detalhamento mensal</w:t>
            </w:r>
          </w:p>
        </w:tc>
      </w:tr>
    </w:tbl>
    <w:p>
      <w:pPr>
        <w:pBdr>
          <w:top w:val="single" w:color="94A3B8" w:sz="4" w:space="8"/>
        </w:pBdr>
        <w:spacing w:before="4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 11-D v2 — Caderno Gerencial de Operação — Revisão mar/2026 — Bloco B5</w:t>
      </w: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Aero Engenharia + Techdengue ·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2" w:space="4"/>
      </w:pBdr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|  Caderno Gerencial — Operação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2026-03-16T14:46:10.852Z</dcterms:created>
  <dcterms:modified xsi:type="dcterms:W3CDTF">2026-03-16T14:46:10.853Z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