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980B9" w:sz="12" w:space="8"/>
        </w:pBdr>
        <w:spacing w:before="0" w:after="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22"/>
          <w:szCs w:val="22"/>
        </w:rPr>
        <w:t xml:space="preserve">PE 2026</w:t>
      </w:r>
    </w:p>
    <w:p>
      <w:pPr>
        <w:spacing w:before="200" w:after="4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52"/>
          <w:szCs w:val="52"/>
        </w:rPr>
        <w:t xml:space="preserve">DOC 11-H</w:t>
      </w:r>
    </w:p>
    <w:p>
      <w:pPr>
        <w:spacing w:before="0" w:after="20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163B5C"/>
          <w:sz w:val="36"/>
          <w:szCs w:val="36"/>
        </w:rPr>
        <w:t xml:space="preserve">Placar Integrado 2026</w:t>
      </w:r>
    </w:p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0"/>
          <w:szCs w:val="20"/>
        </w:rPr>
        <w:t xml:space="preserve">Consolidação de KPIs, Guardrails e Governança de Desempenho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Março/2026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Camada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 — MBR/QBR (Instrumento Transversal)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Bloco de origem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B3 — Completude Estrutural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Lacuna endereçada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LC-04 (Placar Integrado vazio — lacuna crítica)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Referência PE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05 · DOC 06 · Cadernos 11-A a 11-G</w:t>
            </w:r>
          </w:p>
        </w:tc>
      </w:tr>
    </w:tbl>
    <w:p>
      <w:pPr>
        <w:pBdr>
          <w:left w:val="single" w:color="B8860B" w:sz="18" w:space="8"/>
        </w:pBdr>
        <w:shd w:fill="FFF8E6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Nota de construção: este documento estava completamente vazio no PE original (LC-04). Foi construído a partir de três fontes: DOC 05 (estrutura de 3 camadas), DOC 06 v2 (25 KRs recalibrados) e cadernos setoriais (KPIs operacionais por área). O resultado é um instrumento único de gestão com ~52 KPIs organizados em 4 camadas.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 w:line="2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Sumário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1 · Propósito e arquitetura do placar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2 · Camada G — Guardrails (limites de segurança)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3 · Camada P — Indicadores por pilar (P1–P5)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4 · Camada M — Monetização da base contratual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5 · Camada S — Placar setorial consolidado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6 · Tabela completa de KPIs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7 · Matriz de rastreabilidade OKR → KPI → Área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8 · Calendário de governança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9 · Protocolos de escalamento</w:t>
      </w:r>
    </w:p>
    <w:p>
      <w:pPr>
        <w:tabs>
          <w:tab w:val="right" w:pos="9360" w:leader="dot"/>
        </w:tabs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3B5C"/>
          <w:sz w:val="20"/>
          <w:szCs w:val="20"/>
        </w:rPr>
        <w:t xml:space="preserve">10 · Glossário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 w:line="2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Propósito e arquitetura do placar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O Placar Integrado é o instrumento que conecta estratégia, gestão e operação numa visão única. Não substitui o DOC 05 (que define o sistema) nem os cadernos setoriais (que detalham por área) — consolida ambos num painel utilizável pela gestão.</w:t>
      </w:r>
    </w:p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1.1 O que o 11-H faz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Três funções inegociáveis: (1) protege o negócio com guardrails que acionam resposta automática; (2) mede avanço real por pilar estratégico com poucos indicadores de alto poder explicativo; (3) habilita decisão em cada cadência — WBR, MBR e QBR recebem exatamente os KPIs que precisam discutir.</w:t>
      </w:r>
    </w:p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1.2 Arquitetura — 4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4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GUARDRAILS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16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7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MONETIZAÇÃO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BF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28"/>
                <w:szCs w:val="28"/>
              </w:rPr>
              <w:t xml:space="preserve">~25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4748B"/>
                <w:sz w:val="14"/>
                <w:szCs w:val="14"/>
              </w:rPr>
              <w:t xml:space="preserve">SETORIAL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7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Foco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Qtd KPIs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Cadência principal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 — Guardrails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Proteger o negócio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MBR (mensal)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 — Pilar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Medir avanço estratégico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16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MBR + QBR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 — Monetização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Motor do ano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WBR (semanal Q1) + MBR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 — Setorial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Execução por área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~25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WBR + MBR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340"/>
                <w:sz w:val="18"/>
                <w:szCs w:val="18"/>
              </w:rPr>
              <w:t xml:space="preserve">~52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0C2340" w:sz="18" w:space="8"/>
        </w:pBdr>
        <w:shd w:fill="E8EBF0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Regra do placar: nenhum KPI entra sem definição clara, fórmula ou evidência, fonte de dados, dono nomeado, cadência e fórum onde é discutido. KPI sem dono ou sem fonte não existe.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 w:line="2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Camada G — Guardrails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Guardrails são limites de proteção. Não são metas — são limiares que, quando violados, acionam resposta obrigatória. A empresa pode operar sem atingir todas as metas; não pode operar ignorando guardrails.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1800"/>
        <w:gridCol w:w="2400"/>
        <w:gridCol w:w="1200"/>
        <w:gridCol w:w="19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Guardrail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Limiar de alerta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G-01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 operacional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Resultado op. / receita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&lt; 30% por 2 meses · &lt; 20% = revisão extraordinária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Financeiro + Direção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G-02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Caixa e previsibilidade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Posição caixa + projeção 30/60/90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Quebra de previsibilidade ou compressão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+ Mensal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Financeiro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G-03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Qualidade de entrega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Retrabalho, falhas críticas, SLA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Aumento de falhas repetidas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+ Mensal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Operação (CS co-resp.)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G-04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Saúde organizacional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Turnover + pulso de clima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Turnover crescente 2+ meses · queda clima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9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RH</w:t>
            </w:r>
          </w:p>
        </w:tc>
      </w:tr>
    </w:tbl>
    <w:p>
      <w:pPr>
        <w:pBdr>
          <w:left w:val="single" w:color="C0392B" w:sz="18" w:space="8"/>
        </w:pBdr>
        <w:shd w:fill="FDECEC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Protocolo geral: qualquer guardrail acionado entra como pauta obrigatória no próximo fórum com plano de resposta, dono e prazo. G-01 abaixo de 20% (safety floor) ativa revisão extraordinária de receita e despesa.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 w:line="2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Camada P — Indicadores por pilar (P1–P5)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Derivados do DOC 05 (Camada B) e vinculados aos KRs do DOC 06 v2. Cada KPI tem rastreabilidade ao OKR corporativo correspondente.</w:t>
      </w:r>
    </w:p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P1 — Governança, Separação e Padrão Auditável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1200"/>
        <w:gridCol w:w="1600"/>
        <w:gridCol w:w="14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2026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Dono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 Corp.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Separação gerencial (P&amp;L por unidade)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Fechamento mensal até dia 10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+ Consultora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P1.1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Disciplina documental DEC/RSK/EVID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80% com evidência/trimestre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+ Consultora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P1.4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Risco regulatório — mapa ativo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100% críticos com dono e revisão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 + gatilho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+ FIN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P1.3</w:t>
            </w:r>
          </w:p>
        </w:tc>
      </w:tr>
    </w:tbl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P2 — Crescimento e Monetização da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1200"/>
        <w:gridCol w:w="1600"/>
        <w:gridCol w:w="14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2026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Dono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 Corp.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Receita por unidade e concentração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TD ≤ 88% · Top-5 &lt; 60%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P2.1/P2.2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Expansão com permanência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70% Top-14 mês a mês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 (+ COM)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P2.5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Diversificação Aero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Pipeline ≥ 4 prospects até jun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(+ COM)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Cal.#11</w:t>
            </w:r>
          </w:p>
        </w:tc>
      </w:tr>
    </w:tbl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P3 — Excelência Operacional e Escala com Margem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1200"/>
        <w:gridCol w:w="1600"/>
        <w:gridCol w:w="14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2026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Dono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 Corp.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Capacidade vs necessária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Gap ≤ 10%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Q1 / 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Operação (COO)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P3.2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Produtividade (ha/equipe/semana)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Baseline mar → melhoria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+ 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Operação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P3.3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Retrabalho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Redução ≥ 20% vs baseline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+ 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Operação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P3.3/P3.4</w:t>
            </w:r>
          </w:p>
        </w:tc>
      </w:tr>
    </w:tbl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P4 — Produto, Dados e IA</w:t>
      </w:r>
    </w:p>
    <w:p>
      <w:pPr>
        <w:pBdr>
          <w:left w:val="single" w:color="B8860B" w:sz="18" w:space="8"/>
        </w:pBdr>
        <w:shd w:fill="FFF8E6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Modelo operacional P&amp;D (Cal.#4): opera via Direção Executiva + consultorias. Donos de P4 são a Direção como coordenadora, não equipe dedicada.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1200"/>
        <w:gridCol w:w="1600"/>
        <w:gridCol w:w="14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2026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Dono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 Corp.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Produto — uso e valor percebido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Baseline abr → +15% até dez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(P&amp;D)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P4.4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Evidência e prova de valor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70% Top-14 com pacote mensal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Q1 / 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(P&amp;D+MKT)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P4.1/P4.2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Automação/IA — ganhos operacionais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2 frentes com evidência até set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(P&amp;D)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P4.5</w:t>
            </w:r>
          </w:p>
        </w:tc>
      </w:tr>
    </w:tbl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P5 — Pessoas, Liderança e Capacidade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1200"/>
        <w:gridCol w:w="1600"/>
        <w:gridCol w:w="14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2026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Dono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 Corp.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P5-01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Turnover (total + posições críticas)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≤ 35% total · ≤ 15% críticas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RH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P5.1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P5-02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Rituais mínimos de liderança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Aderência ≥ 85% até jun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RH + Direção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P5.3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P5-03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Posições-chave preenchidas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80% até jun (COO + COM)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RH + Direção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P5.4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P5-04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Onboarding e integração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Sucesso 90d ≥ 85% · churn ≤ 10%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RH</w:t>
            </w:r>
          </w:p>
        </w:tc>
        <w:tc>
          <w:tcPr>
            <w:tcW w:type="dxa" w:w="1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 w:line="2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Camada M — Monetização da Base Contratual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Motor do ano. Acompanhamento semanal no Q1 via Sala de Situação, mensal no restante. Estes indicadores são o pulso de caixa e execução da empresa.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800"/>
        <w:gridCol w:w="1400"/>
        <w:gridCol w:w="24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M-01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Saldo a executar (ha)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Reduzir de 88.348 para ≤ 37.911 ha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+ Mensal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 + Operação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M-02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Execução acumulada (%)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85% no Q1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+ Mensal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Operação + CS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M-03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Vazão / run-rate (ha/semana)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~3.800 ha/semana (Q1)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Operação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M-04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Taxa de ativação de demanda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70% Pareto Top-14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+ Mensal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M-05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Previsão 30/60/90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100% Top-14 com previsão + evidência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+ Mensal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 + Financeiro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M-06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Idade do saldo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"Baixa Execução" ≤ 25% (era 42,7%)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 + alerta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M-07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Pareto Top-14/32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Status atualizado por grupo prioritário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Q1 / Mensal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 + Direção</w:t>
            </w:r>
          </w:p>
        </w:tc>
      </w:tr>
    </w:tbl>
    <w:p>
      <w:pPr>
        <w:pBdr>
          <w:left w:val="single" w:color="0E8C6B" w:sz="18" w:space="8"/>
        </w:pBdr>
        <w:shd w:fill="E6F5F0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Dono do bloco M: CS/Relacionamento, com Operação, Financeiro e Direção como co-responsáveis. Comercial assume co-responsabilidade quando a área estiver estruturada.</w:t>
      </w:r>
    </w:p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 w:line="2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Camada S — Placar Setorial Consolidado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Top 3 indicadores por área — os que a Direção precisa ver mensalmente para entender o pulso de cada setor. Detalhamento completo na Seção 6.</w:t>
      </w:r>
    </w:p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5.1 RH / Pessoas (11-A)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1200"/>
        <w:gridCol w:w="23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/ Referência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Turnover total (YTD)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≤ 35% anual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Aero Conecta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TTF — tempo médio preenchimento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Baseline Q1 → redução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Aero Conecta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Aderência líderes a rituais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85% até jun/2026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Aero Desenvolve</w:t>
            </w:r>
          </w:p>
        </w:tc>
      </w:tr>
    </w:tbl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5.2 Marketing (11-B)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1200"/>
        <w:gridCol w:w="23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/ Referência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Leads qualificados/mês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Baseline Q2 → meta Q3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MKT-P1 Geração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Provas de valor publicadas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5 kits publicados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MKT-P3 Provas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Retrabalho de produção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Baseline Q2 → −20%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MKT-P4 Eficiência</w:t>
            </w:r>
          </w:p>
        </w:tc>
      </w:tr>
    </w:tbl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5.3 Operação (11-D)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1200"/>
        <w:gridCol w:w="23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/ Referência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Custo operacional / hectare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Ref. R$8,22 → ≤ R$8,50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OP-P1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Capacidade disponível vs planejada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Gap ≤ 10%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Q1 / 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OP-P1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Taxa de retrabalho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Baseline mar → −20%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Sem. + 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OP-P2</w:t>
            </w:r>
          </w:p>
        </w:tc>
      </w:tr>
    </w:tbl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5.4 CS / Relacionamento (11-E)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1200"/>
        <w:gridCol w:w="23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/ Referência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Taxa ativação Pareto Top-14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70% mês a mês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CS-P1 Ativação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Satisfação / NPS contratantes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Baseline Q2 → melhoria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CS-P2 Retenção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Idade do saldo (baixa execução)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"Baixa Exec." ≤ 25%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CS-P1 Ativação</w:t>
            </w:r>
          </w:p>
        </w:tc>
      </w:tr>
    </w:tbl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5.5 Comercial / Novos Negócios (11-F)</w:t>
      </w:r>
    </w:p>
    <w:p>
      <w:pPr>
        <w:pBdr>
          <w:left w:val="single" w:color="B8860B" w:sz="18" w:space="8"/>
        </w:pBdr>
        <w:shd w:fill="FFF8E6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Área em criação (Cal.#2, LC-06). KPIs condicionais à contratação de liderança Comercial (KR-P5.4). Até ativação, Direção + CS absorvem funções mínimas.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1200"/>
        <w:gridCol w:w="23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/ Referência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Pipeline qualificado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3 (CS) → ≥ 8 (COM ativo)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COM-P2 Pipeline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Conversão de pipeline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Baseline pós-ativação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COM-P2 Pipeline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Receita Aero acumulada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R$950K–1,1M / R$1,5–1,8M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COM-P3 Aero</w:t>
            </w:r>
          </w:p>
        </w:tc>
      </w:tr>
    </w:tbl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5.6 P&amp;D / Produto / Dados (11-C)</w:t>
      </w:r>
    </w:p>
    <w:p>
      <w:pPr>
        <w:pBdr>
          <w:left w:val="single" w:color="B8860B" w:sz="18" w:space="8"/>
        </w:pBdr>
        <w:shd w:fill="FFF8E6" w:val="clear"/>
        <w:spacing w:before="120" w:after="120"/>
        <w:ind w:left="200"/>
      </w:pP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18"/>
          <w:szCs w:val="18"/>
        </w:rPr>
        <w:t xml:space="preserve">Sem equipe dedicada (Cal.#4). Opera via Direção + consultorias.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1200"/>
        <w:gridCol w:w="23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/ Referência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Pacotes evidência entregues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70% Top-14 com pacote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P&amp;D-P1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Adoção do produto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Baseline abr → +15% até dez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P&amp;D-P2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Frentes automação/IA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2 com evidência até set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P&amp;D-P3</w:t>
            </w:r>
          </w:p>
        </w:tc>
      </w:tr>
    </w:tbl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5.7 Financeiro (11-G)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000"/>
        <w:gridCol w:w="1200"/>
        <w:gridCol w:w="23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/ Referência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Programa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 operacional por unidade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≥ 30% consolidado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FIN Apuração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Ciclo financeiro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≤ 0 dias (ref. −6,9d)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FIN Caixa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Aderência orçamentária/centro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Desvio ≤ ±15%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FIN Controle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 w:line="2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Matriz de Rastreabilidade OKR → KPI → Área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400"/>
        <w:gridCol w:w="27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OKR Corporativo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KRs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KPIs do Placar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Áreas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OKR-P1 — Governança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P1.1–P1.5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P1-01, P1-02, P1-03, FIN-5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Direção, Financeiro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OKR-P2 — Monetização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P2.1–P2.5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P2-01 a P2-03, M-01 a M-07, CS-1 a CS-7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CS, OP, FIN, COM, Direção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OKR-P3 — Escala + margem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P3.1–P3.5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G-01, G-03, P3-01 a P3-03, OP-1 a OP-7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Operação, FIN, CS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OKR-P4 — Produto/IA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P4.1–P4.5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P4-01 a P4-03, P&amp;D-1 a P&amp;D-5, MKT-7/8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Direção (P&amp;D), MKT, CS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OKR-P5 — Pessoas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P5.1–P5.5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G-04, P5-01 a P5-04, RH-1 a RH-10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RH, Direção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 w:line="2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Calendário de Governança</w:t>
      </w:r>
    </w:p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8.1 O que é discutido em cada cadência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200"/>
        <w:gridCol w:w="3000"/>
        <w:gridCol w:w="2160"/>
      </w:tblGrid>
      <w:t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Cadência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Camadas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Pauta fixa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Saída obrigatória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WBR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Semanal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 + S (OP)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Vazão, Pareto, bloqueios, capacidade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Ações com dono e prazo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MBR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Mensal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 + P + M + 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Guardrails, pilar, setoriais, orçamento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Ata + decisões + backlog</w:t>
            </w:r>
          </w:p>
        </w:tc>
      </w:tr>
      <w:tr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QBR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Trimestral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 + P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OKRs, cenários, riscos, ajustes de rota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Relatório + recalibrações</w:t>
            </w:r>
          </w:p>
        </w:tc>
      </w:tr>
    </w:tbl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8.2 Intensificação Q1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No Q1, a cadência de Monetização (Camada M) é semanal via Sala de Situação. Os indicadores P3-01 (capacidade) e P4-02 (evidência) também entram na WBR. A partir do Q2, retornam à cadência mensal padrão.</w:t>
      </w:r>
    </w:p>
    <w:p>
      <w:pPr>
        <w:pStyle w:val="Heading2"/>
        <w:spacing w:before="240" w:after="12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63B5C"/>
          <w:sz w:val="22"/>
          <w:szCs w:val="22"/>
        </w:rPr>
        <w:t xml:space="preserve">8.3 Calendário simplificado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800"/>
        <w:gridCol w:w="1200"/>
        <w:gridCol w:w="35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WBR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MBR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QBR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Eventos especiais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Jan–Mar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Q1 (mar)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Execução Q1 intensiva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Abr–Jun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Padrão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Q2 (jun)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Gatilho Aero · Contratações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Jul–Set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Padrão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Q3 (set)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Cenários Aero · IA marcos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Out–Dez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Padrão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Q4 (dez)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GPTW · Planejamento 2027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 w:line="2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Protocolos de Escalamento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Regras automáticas — quando o alerta acende, a ação é obrigatória.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800"/>
        <w:gridCol w:w="1200"/>
        <w:gridCol w:w="2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Ação obrigatória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Fórum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 &lt; 30% por 2 meses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⚠ ATENÇÃO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Revisão custos e preço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MBR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Próximo MBR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 &lt; 20% (safety floor)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Revisão extraordinária receita/despesa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QBR extra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 dias úteis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Vazão caindo 2+ semanas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⚠ ATENÇÃO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Replanejamento capacidade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WBR → MBR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7 dias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Pareto com bloqueios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⚠ ATENÇÃO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Plano por contratante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WBR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Próxima WBR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Aumento de retrabalho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⚠ ATENÇÃO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Revisão processo e padrão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WBR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7 dias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Turnover crescente 2+ meses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Causa raiz + contenção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MBR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Próximo MBR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Saída posição crítica sem plano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Ativação plano de contenção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MBR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48 horas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Pipeline Aero &lt; 4 até jun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⚠ ATENÇÃO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Cenário conservador = ref. Q4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QBR Q2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Regulatório pós-31/03 indefinido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Escalonamento QBR extraordinária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QBR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Imediato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Rituais liderança &lt; 70% por 2 meses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⚠ ATENÇÃO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Reforço gestão + ajuste carga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MBR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Próximo MBR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6" w:space="4"/>
        </w:pBdr>
        <w:spacing w:before="360" w:after="160" w:line="260"/>
      </w:pP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b w:val="false"/>
          <w:bCs w:val="false"/>
          <w:i w:val="false"/>
          <w:iCs w:val="false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Placar Integrado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11-H — consolidação de KPIs de todas as áreas num instrumento único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Placar Institucional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 05 — definições, estrutura e governança do sistema de KPIs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Guardrail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Limite de segurança — violação aciona resposta obrigatória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KPI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Indicador-chave de desempenho com definição, dono, fonte e cadência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Key Result — resultado-chave mensurável vinculado a um OKR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OKR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Objective and Key Result — objetivo estratégico com KRs mensuráveis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Camada 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Guardrails — limites de proteção do negócio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Camada P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Pilar — indicadores estratégicos por pilar (P1–P5)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Camada 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Monetização — indicadores do motor de caixa do ano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Camada 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Setorial — indicadores operacionais por área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WBR / MBR / QBR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Cadências de revisão: semanal / mensal / trimestral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Sala de Situação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Rito intensivo semanal Q1 para monetização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Run-rate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Vazão de execução por período (ha/semana, ha/mês)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Safety floor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Margem mínima de 20% — abaixo disso, revisão extraordinária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Pareto Top-14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14 maiores contratantes por volume — prioridade de gestão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GAO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Grau de Alavancagem Operacional — 1,91x</w:t>
            </w:r>
          </w:p>
        </w:tc>
      </w:tr>
    </w:tbl>
    <w:p>
      <w:pPr>
        <w:spacing w:before="400"/>
      </w:pPr>
    </w:p>
    <w:p>
      <w:pPr>
        <w:pBdr>
          <w:top w:val="single" w:color="94A3B8" w:sz="4" w:space="4"/>
        </w:pBdr>
        <w:spacing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16"/>
          <w:szCs w:val="16"/>
        </w:rPr>
        <w:t xml:space="preserve">DOC 11-H — Placar Integrado 2026 — v2.0 — Março/2026 — Bloco B3 — Completude Estrutural</w:t>
      </w:r>
    </w:p>
    <w:p>
      <w:pPr>
        <w:spacing w:before="80" w:after="80" w:line="26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94A3B8"/>
          <w:sz w:val="16"/>
          <w:szCs w:val="16"/>
        </w:rPr>
        <w:t xml:space="preserve">Aero Engenharia + Techdengue · Confidencial — Uso Interno da Direção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4" w:space="4"/>
      </w:pBdr>
      <w:tabs>
        <w:tab w:val="right" w:pos="9360"/>
      </w:tabs>
    </w:pP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color w:val="94A3B8"/>
        <w:sz w:val="14"/>
        <w:szCs w:val="14"/>
      </w:rPr>
      <w:ptab w:alignment="right" w:relativeTo="margin" w:leader="none"/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|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4A3B8" w:sz="4" w:space="4"/>
      </w:pBdr>
      <w:tabs>
        <w:tab w:val="right" w:pos="9360"/>
      </w:tabs>
      <w:spacing w:after="0"/>
    </w:pP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ptab w:alignment="right" w:relativeTo="margin" w:leader="none"/>
    </w:r>
    <w:r>
      <w:rPr>
        <w:rFonts w:ascii="Calibri" w:cs="Calibri" w:eastAsia="Calibri" w:hAnsi="Calibri"/>
        <w:b w:val="false"/>
        <w:bCs w:val="false"/>
        <w:i w:val="false"/>
        <w:iCs w:val="false"/>
        <w:color w:val="94A3B8"/>
        <w:sz w:val="16"/>
        <w:szCs w:val="16"/>
      </w:rPr>
      <w:t xml:space="preserve">DOC 11-H — Placar Integrado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 Light" w:cs="Calibri Light" w:eastAsia="Calibri Light" w:hAnsi="Calibri Light"/>
      <w:color w:val="0C2340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63B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2026-03-16T15:19:46.224Z</dcterms:created>
  <dcterms:modified xsi:type="dcterms:W3CDTF">2026-03-16T15:19:46.225Z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