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pBdr>
          <w:bottom w:val="single" w:color="2980B9" w:sz="12" w:space="8"/>
        </w:pBdr>
        <w:spacing w:after="200"/>
      </w:pPr>
      <w:r>
        <w:rPr>
          <w:rFonts w:ascii="Calibri Light" w:cs="Calibri Light" w:eastAsia="Calibri Light" w:hAnsi="Calibri Light"/>
          <w:color w:val="94A3B8"/>
          <w:spacing w:val="120"/>
          <w:sz w:val="20"/>
          <w:szCs w:val="20"/>
        </w:rPr>
        <w:t xml:space="preserve">PLANEJAMENTO ESTRATÉGICO 2026</w:t>
      </w:r>
    </w:p>
    <w:p>
      <w:pPr>
        <w:spacing w:after="80"/>
      </w:pPr>
      <w:r>
        <w:rPr>
          <w:rFonts w:ascii="Calibri Light" w:cs="Calibri Light" w:eastAsia="Calibri Light" w:hAnsi="Calibri Light"/>
          <w:color w:val="0C2340"/>
          <w:sz w:val="52"/>
          <w:szCs w:val="52"/>
        </w:rPr>
        <w:t xml:space="preserve">DOC 11-E.1</w:t>
      </w:r>
    </w:p>
    <w:p>
      <w:pPr>
        <w:spacing w:after="60"/>
      </w:pPr>
      <w:r>
        <w:rPr>
          <w:rFonts w:ascii="Calibri Light" w:cs="Calibri Light" w:eastAsia="Calibri Light" w:hAnsi="Calibri Light"/>
          <w:color w:val="163B5C"/>
          <w:sz w:val="36"/>
          <w:szCs w:val="36"/>
        </w:rPr>
        <w:t xml:space="preserve">Caderno Setorial — Direção</w:t>
      </w:r>
    </w:p>
    <w:p>
      <w:pPr>
        <w:spacing w:after="24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CS / Relacionamento com Contratante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OKRs · KRs · Contratos de Resultado · Governança</w:t>
      </w:r>
    </w:p>
    <w:p>
      <w:pPr>
        <w:spacing w:before="60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4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Versão</w:t>
            </w:r>
          </w:p>
        </w:tc>
        <w:tc>
          <w:tcPr>
            <w:tcW w:type="dxa" w:w="6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Data</w:t>
            </w:r>
          </w:p>
        </w:tc>
        <w:tc>
          <w:tcPr>
            <w:tcW w:type="dxa" w:w="6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Março/2026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Camada</w:t>
            </w:r>
          </w:p>
        </w:tc>
        <w:tc>
          <w:tcPr>
            <w:tcW w:type="dxa" w:w="6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 — MBR (Caderno Setorial — Direção)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Classificação</w:t>
            </w:r>
          </w:p>
        </w:tc>
        <w:tc>
          <w:tcPr>
            <w:tcW w:type="dxa" w:w="6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Confidencial — Uso interno da Direção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6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Cláudio Ribeiro — Direção Executiva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Base de referência</w:t>
            </w:r>
          </w:p>
        </w:tc>
        <w:tc>
          <w:tcPr>
            <w:tcW w:type="dxa" w:w="6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DOC 11-E v2 + DOC 06 v2 (OKR-P2/P3/P4)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Lacunas</w:t>
            </w:r>
          </w:p>
        </w:tc>
        <w:tc>
          <w:tcPr>
            <w:tcW w:type="dxa" w:w="6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LC-05 · LR-06</w:t>
            </w:r>
          </w:p>
        </w:tc>
      </w:tr>
    </w:tbl>
    <w:p>
      <w:pPr>
        <w:spacing w:before="800"/>
      </w:pPr>
    </w:p>
    <w:p>
      <w:r>
        <w:rPr>
          <w:rFonts w:ascii="Calibri" w:cs="Calibri" w:eastAsia="Calibri" w:hAnsi="Calibri"/>
          <w:i/>
          <w:iCs/>
          <w:color w:val="94A3B8"/>
          <w:sz w:val="18"/>
          <w:szCs w:val="18"/>
        </w:rPr>
        <w:t xml:space="preserve">Aero Engenharia + Techdengue · Geotecnologia e Drones</w:t>
      </w:r>
    </w:p>
    <w:p>
      <w:pPr>
        <w:sectPr>
          <w:pgSz w:w="11906" w:h="16838" w:orient="portrait"/>
          <w:pgMar w:top="1134" w:right="1134" w:bottom="1134" w:left="1418" w:header="708" w:footer="708" w:gutter="0"/>
          <w:pgNumType/>
          <w:docGrid w:linePitch="360"/>
        </w:sectPr>
      </w:pP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Sumário</w:t>
      </w:r>
    </w:p>
    <w:p>
      <w:pPr>
        <w:tabs>
          <w:tab w:val="right" w:pos="9354" w:leader="dot"/>
        </w:tabs>
        <w:spacing w:before="40" w:after="40"/>
      </w:pPr>
      <w:r>
        <w:rPr>
          <w:rFonts w:ascii="Calibri" w:cs="Calibri" w:eastAsia="Calibri" w:hAnsi="Calibri"/>
          <w:color w:val="163B5C"/>
          <w:sz w:val="19"/>
          <w:szCs w:val="19"/>
        </w:rPr>
        <w:t xml:space="preserve">1. Diagnóstico aplicado — partida 2026</w:t>
      </w:r>
    </w:p>
    <w:p>
      <w:pPr>
        <w:tabs>
          <w:tab w:val="right" w:pos="9354" w:leader="dot"/>
        </w:tabs>
        <w:spacing w:before="40" w:after="40"/>
      </w:pPr>
      <w:r>
        <w:rPr>
          <w:rFonts w:ascii="Calibri" w:cs="Calibri" w:eastAsia="Calibri" w:hAnsi="Calibri"/>
          <w:color w:val="163B5C"/>
          <w:sz w:val="19"/>
          <w:szCs w:val="19"/>
        </w:rPr>
        <w:t xml:space="preserve">2. Pilar institucional e vínculo PE2026</w:t>
      </w:r>
    </w:p>
    <w:p>
      <w:pPr>
        <w:tabs>
          <w:tab w:val="right" w:pos="9354" w:leader="dot"/>
        </w:tabs>
        <w:spacing w:before="40" w:after="40"/>
      </w:pPr>
      <w:r>
        <w:rPr>
          <w:rFonts w:ascii="Calibri" w:cs="Calibri" w:eastAsia="Calibri" w:hAnsi="Calibri"/>
          <w:color w:val="163B5C"/>
          <w:sz w:val="19"/>
          <w:szCs w:val="19"/>
        </w:rPr>
        <w:t xml:space="preserve">3. Objetivos estratégicos do ano (O1–O4)</w:t>
      </w:r>
    </w:p>
    <w:p>
      <w:pPr>
        <w:tabs>
          <w:tab w:val="right" w:pos="9354" w:leader="dot"/>
        </w:tabs>
        <w:spacing w:before="40" w:after="40"/>
      </w:pPr>
      <w:r>
        <w:rPr>
          <w:rFonts w:ascii="Calibri" w:cs="Calibri" w:eastAsia="Calibri" w:hAnsi="Calibri"/>
          <w:color w:val="163B5C"/>
          <w:sz w:val="19"/>
          <w:szCs w:val="19"/>
        </w:rPr>
        <w:t xml:space="preserve">4. Programas do CS — estrutura de execução</w:t>
      </w:r>
    </w:p>
    <w:p>
      <w:pPr>
        <w:tabs>
          <w:tab w:val="right" w:pos="9354" w:leader="dot"/>
        </w:tabs>
        <w:spacing w:before="40" w:after="40"/>
      </w:pPr>
      <w:r>
        <w:rPr>
          <w:rFonts w:ascii="Calibri" w:cs="Calibri" w:eastAsia="Calibri" w:hAnsi="Calibri"/>
          <w:color w:val="163B5C"/>
          <w:sz w:val="19"/>
          <w:szCs w:val="19"/>
        </w:rPr>
        <w:t xml:space="preserve">5. Contratos de resultado — OKRs e KRs por objetivo</w:t>
      </w:r>
    </w:p>
    <w:p>
      <w:pPr>
        <w:tabs>
          <w:tab w:val="right" w:pos="9354" w:leader="dot"/>
        </w:tabs>
        <w:spacing w:before="40" w:after="40"/>
      </w:pPr>
      <w:r>
        <w:rPr>
          <w:rFonts w:ascii="Calibri" w:cs="Calibri" w:eastAsia="Calibri" w:hAnsi="Calibri"/>
          <w:color w:val="163B5C"/>
          <w:sz w:val="19"/>
          <w:szCs w:val="19"/>
        </w:rPr>
        <w:t xml:space="preserve">6. Placar do MBR — KPIs de acompanhamento</w:t>
      </w:r>
    </w:p>
    <w:p>
      <w:pPr>
        <w:tabs>
          <w:tab w:val="right" w:pos="9354" w:leader="dot"/>
        </w:tabs>
        <w:spacing w:before="40" w:after="40"/>
      </w:pPr>
      <w:r>
        <w:rPr>
          <w:rFonts w:ascii="Calibri" w:cs="Calibri" w:eastAsia="Calibri" w:hAnsi="Calibri"/>
          <w:color w:val="163B5C"/>
          <w:sz w:val="19"/>
          <w:szCs w:val="19"/>
        </w:rPr>
        <w:t xml:space="preserve">7. Riscos críticos e mitigações</w:t>
      </w:r>
    </w:p>
    <w:p>
      <w:pPr>
        <w:tabs>
          <w:tab w:val="right" w:pos="9354" w:leader="dot"/>
        </w:tabs>
        <w:spacing w:before="40" w:after="40"/>
      </w:pPr>
      <w:r>
        <w:rPr>
          <w:rFonts w:ascii="Calibri" w:cs="Calibri" w:eastAsia="Calibri" w:hAnsi="Calibri"/>
          <w:color w:val="163B5C"/>
          <w:sz w:val="19"/>
          <w:szCs w:val="19"/>
        </w:rPr>
        <w:t xml:space="preserve">8. Cadência de governança</w:t>
      </w:r>
    </w:p>
    <w:p>
      <w:pPr>
        <w:tabs>
          <w:tab w:val="right" w:pos="9354" w:leader="dot"/>
        </w:tabs>
        <w:spacing w:before="40" w:after="40"/>
      </w:pPr>
      <w:r>
        <w:rPr>
          <w:rFonts w:ascii="Calibri" w:cs="Calibri" w:eastAsia="Calibri" w:hAnsi="Calibri"/>
          <w:color w:val="163B5C"/>
          <w:sz w:val="19"/>
          <w:szCs w:val="19"/>
        </w:rPr>
        <w:t xml:space="preserve">9. Glossário</w:t>
      </w:r>
    </w:p>
    <w:p>
      <w:r>
        <w:br w:type="page"/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1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Diagnóstico aplicado — partida 2026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1.1 Base positiva</w:t>
      </w:r>
    </w:p>
    <w:p>
      <w:pPr>
        <w:spacing w:before="80" w:after="8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 empresa encerrou 2025 com R$10,3M de receita e 60+ municípios contratantes — a maior base contratual da história. A operação demonstrou capacidade de execução de 117.357 ha em 288 medições, com custo operacional de R$8,22/ha. Existe produto, existe demanda, existe equipe de campo. O ativo existe; o que falta é método para ativá-lo com previsibilidade.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1.2 Gaps objetivos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754"/>
        <w:gridCol w:w="2000"/>
      </w:tblGrid>
      <w:tr>
        <w:trPr>
          <w:tblHeader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Baseline jan/2026</w:t>
            </w:r>
          </w:p>
        </w:tc>
        <w:tc>
          <w:tcPr>
            <w:tcW w:type="dxa" w:w="2754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Meta 2026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 Corp.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Saldo residual acumulado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88.348 ha (~42,7% Baixa Execução)</w:t>
            </w:r>
          </w:p>
        </w:tc>
        <w:tc>
          <w:tcPr>
            <w:tcW w:type="dxa" w:w="27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≤ 37.910 ha (mar) · ≤ 25% (jun)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P2.2, P2.4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Execução no Q1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~85% meta acumulada</w:t>
            </w:r>
          </w:p>
        </w:tc>
        <w:tc>
          <w:tcPr>
            <w:tcW w:type="dxa" w:w="27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≥ 50.438 ha no Q1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P2.1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Sala de Situação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Inexistente como rito formal</w:t>
            </w:r>
          </w:p>
        </w:tc>
        <w:tc>
          <w:tcPr>
            <w:tcW w:type="dxa" w:w="27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Operante semanalmente desde fev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P2.3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Ativação Pareto Top-14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Sem medição</w:t>
            </w:r>
          </w:p>
        </w:tc>
        <w:tc>
          <w:tcPr>
            <w:tcW w:type="dxa" w:w="27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≥ 70% com execução mês a mês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P2.5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Prova de valor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Inexistente como pacote</w:t>
            </w:r>
          </w:p>
        </w:tc>
        <w:tc>
          <w:tcPr>
            <w:tcW w:type="dxa" w:w="27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≥ 70% Top-14 mensal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P4.1, P4.2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Satisfação / NPS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Sem medição</w:t>
            </w:r>
          </w:p>
        </w:tc>
        <w:tc>
          <w:tcPr>
            <w:tcW w:type="dxa" w:w="27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Baseline Q2; ≥ 7,0 Q4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P3.4</w:t>
            </w:r>
          </w:p>
        </w:tc>
      </w:tr>
    </w:tbl>
    <w:p>
      <w:pPr>
        <w:spacing w:before="240" w:after="12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1.3 Por que 2026 amplifica o risco</w:t>
      </w:r>
    </w:p>
    <w:p>
      <w:pPr>
        <w:spacing w:before="80" w:after="8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2026 adiciona pressão simultânea: converter base em caixa para sustentar crescimento (P2 é motor do ano); entrada de COO que pode reestruturar CS; criação da área Comercial que redefine fronteiras; exigência da tese sell-ready por processos documentados e auditáveis. Se CS não se estrutura: saldo cresce, previsibilidade cai, contratantes não renovam, e a monetização vira narrativa.</w:t>
      </w:r>
    </w:p>
    <w:p>
      <w:r>
        <w:br w:type="page"/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2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Pilar institucional e vínculo PE2026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none" w:color="FFFFFF" w:sz="0"/>
              <w:left w:val="single" w:color="0E8C6B" w:sz="18"/>
              <w:bottom w:val="none" w:color="FFFFFF" w:sz="0"/>
              <w:right w:val="none" w:color="FFFFFF" w:sz="0"/>
            </w:tcBorders>
            <w:shd w:fill="F0FDFA" w:val="clear"/>
            <w:tcMar>
              <w:top w:type="dxa" w:w="80"/>
              <w:left w:type="dxa" w:w="170"/>
              <w:bottom w:type="dxa" w:w="80"/>
              <w:right w:type="dxa" w:w="120"/>
            </w:tcMar>
          </w:tcPr>
          <w:p>
            <w:pPr>
              <w:spacing w:before="0" w:after="0" w:line="252"/>
            </w:pPr>
            <w:r>
              <w:rPr>
                <w:rFonts w:ascii="Calibri" w:cs="Calibri" w:eastAsia="Calibri" w:hAnsi="Calibri"/>
                <w:i/>
                <w:iCs/>
                <w:color w:val="334155"/>
                <w:sz w:val="18"/>
                <w:szCs w:val="18"/>
              </w:rPr>
              <w:t xml:space="preserve">P2 — Crescimento com Tese e Monetização da Base Contratual — P2 não é meta comercial; é execução de contrato existente. CS transforma P2 em rotina mensurável: Sala de Situação, ativação de demanda, plano por contratante, retenção e renovação com método.</w:t>
            </w:r>
          </w:p>
        </w:tc>
      </w:tr>
    </w:tbl>
    <w:p>
      <w:pPr>
        <w:spacing w:before="12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4"/>
      </w:tblGrid>
      <w:tr>
        <w:trPr>
          <w:tblHeader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OKR Corporativo</w:t>
            </w:r>
          </w:p>
        </w:tc>
        <w:tc>
          <w:tcPr>
            <w:tcW w:type="dxa" w:w="6354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Contribuição do CS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OKR-P2 — Monetização</w:t>
            </w:r>
          </w:p>
        </w:tc>
        <w:tc>
          <w:tcPr>
            <w:tcW w:type="dxa" w:w="63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PILAR PRINCIPAL. CS é dono da execução no campo: ativação, Sala de Situação, retenção, renovação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OKR-P3 — Escala com margem</w:t>
            </w:r>
          </w:p>
        </w:tc>
        <w:tc>
          <w:tcPr>
            <w:tcW w:type="dxa" w:w="63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Qualidade de relacionamento, satisfação, feedback para melhoria operacional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OKR-P4 — Produto/Dados/IA</w:t>
            </w:r>
          </w:p>
        </w:tc>
        <w:tc>
          <w:tcPr>
            <w:tcW w:type="dxa" w:w="63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Canal de entrega de prova de valor, coleta de devolutiva, feedback de adoção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OKR-P1 — Governança</w:t>
            </w:r>
          </w:p>
        </w:tc>
        <w:tc>
          <w:tcPr>
            <w:tcW w:type="dxa" w:w="63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Processos CS documentados, auditáveis e rastreáveis</w:t>
            </w:r>
          </w:p>
        </w:tc>
      </w:tr>
    </w:tbl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3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Objetivos estratégicos do ano (O1–O4)</w:t>
      </w:r>
    </w:p>
    <w:p>
      <w:pPr>
        <w:spacing w:before="80" w:after="8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Os quatro objetivos são fixos para o ciclo. Toda iniciativa, meta e evidência vincula-se a pelo menos um objetivo.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054"/>
        <w:gridCol w:w="1800"/>
      </w:tblGrid>
      <w:tr>
        <w:trPr>
          <w:tblHeader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3054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Por que importa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Programa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O1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Ativar demanda e monetizar a base contratual</w:t>
            </w:r>
          </w:p>
        </w:tc>
        <w:tc>
          <w:tcPr>
            <w:tcW w:type="dxa" w:w="30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Contrato sem execução é receita perdida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CS-P1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O2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Reter contratantes e garantir renovação com método</w:t>
            </w:r>
          </w:p>
        </w:tc>
        <w:tc>
          <w:tcPr>
            <w:tcW w:type="dxa" w:w="30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Churn destrói previsibilidade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CS-P2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7B1FA2"/>
                <w:sz w:val="18"/>
                <w:szCs w:val="18"/>
              </w:rPr>
              <w:t xml:space="preserve">O3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Entregar prova de valor e coletar devolutiva</w:t>
            </w:r>
          </w:p>
        </w:tc>
        <w:tc>
          <w:tcPr>
            <w:tcW w:type="dxa" w:w="30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Resultado percebido = renovação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CS-P3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FF8F00"/>
                <w:sz w:val="18"/>
                <w:szCs w:val="18"/>
              </w:rPr>
              <w:t xml:space="preserve">O4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Preparar expansão e transição institucional</w:t>
            </w:r>
          </w:p>
        </w:tc>
        <w:tc>
          <w:tcPr>
            <w:tcW w:type="dxa" w:w="30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Handoff Comercial + upsell reativo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CS-P4</w:t>
            </w:r>
          </w:p>
        </w:tc>
      </w:tr>
    </w:tbl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4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Programas do CS — estrutura de execução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54"/>
        <w:gridCol w:w="1700"/>
        <w:gridCol w:w="1800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Programa</w:t>
            </w:r>
          </w:p>
        </w:tc>
        <w:tc>
          <w:tcPr>
            <w:tcW w:type="dxa" w:w="3054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Resolve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Ativação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CS-P1 · Ativação e Monetização</w:t>
            </w:r>
          </w:p>
        </w:tc>
        <w:tc>
          <w:tcPr>
            <w:tcW w:type="dxa" w:w="30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Saldo alto, execução abaixo do potencial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O1 (apoia O2)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Q1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CS-P2 · Retenção e Satisfação</w:t>
            </w:r>
          </w:p>
        </w:tc>
        <w:tc>
          <w:tcPr>
            <w:tcW w:type="dxa" w:w="30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Churn, renovação sem método, satisfação não medida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O2 (apoia O1, O4)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Q1/Q2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7B1FA2"/>
                <w:sz w:val="18"/>
                <w:szCs w:val="18"/>
              </w:rPr>
              <w:t xml:space="preserve">CS-P3 · Prova de Valor e Devolutiva</w:t>
            </w:r>
          </w:p>
        </w:tc>
        <w:tc>
          <w:tcPr>
            <w:tcW w:type="dxa" w:w="30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Prova de valor não chega, feedback ausente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O3 (apoia O2)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Q1 (dep. P&amp;D)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FF8F00"/>
                <w:sz w:val="18"/>
                <w:szCs w:val="18"/>
              </w:rPr>
              <w:t xml:space="preserve">CS-P4 · Expansão e Interface</w:t>
            </w:r>
          </w:p>
        </w:tc>
        <w:tc>
          <w:tcPr>
            <w:tcW w:type="dxa" w:w="30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Upsell não capturado, transição não planejada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O4 (apoia O1)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Q2/Q3</w:t>
            </w:r>
          </w:p>
        </w:tc>
      </w:tr>
    </w:tbl>
    <w:p>
      <w:pPr>
        <w:spacing w:before="12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none" w:color="FFFFFF" w:sz="0"/>
              <w:left w:val="single" w:color="0C2340" w:sz="18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70"/>
              <w:bottom w:type="dxa" w:w="80"/>
              <w:right w:type="dxa" w:w="120"/>
            </w:tcMar>
          </w:tcPr>
          <w:p>
            <w:pPr>
              <w:spacing w:before="0" w:after="0" w:line="252"/>
            </w:pPr>
            <w:r>
              <w:rPr>
                <w:rFonts w:ascii="Calibri" w:cs="Calibri" w:eastAsia="Calibri" w:hAnsi="Calibri"/>
                <w:i/>
                <w:iCs/>
                <w:color w:val="334155"/>
                <w:sz w:val="18"/>
                <w:szCs w:val="18"/>
              </w:rPr>
              <w:t xml:space="preserve">Regra de WIP: no Q1, foco absoluto em CS-P1 (Sala de Situação + ativação). CS-P2 e CS-P3 ativam em paralelo conforme capacidade. CS-P4 é Q2+.</w:t>
            </w:r>
          </w:p>
        </w:tc>
      </w:tr>
    </w:tbl>
    <w:p>
      <w:r>
        <w:br w:type="page"/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5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Contratos de resultado — OKRs e KRs por objetivo</w:t>
      </w:r>
    </w:p>
    <w:p>
      <w:pPr>
        <w:spacing w:before="80" w:after="80" w:line="264"/>
        <w:jc w:val="both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O detalhamento de cada iniciativa (entrega mínima, evidência, responsável) está no DOC 11-E.2.</w:t>
      </w:r>
    </w:p>
    <w:p>
      <w:pPr>
        <w:spacing w:before="200" w:after="100"/>
      </w:pPr>
      <w:r>
        <w:rPr>
          <w:rFonts w:ascii="Calibri" w:cs="Calibri" w:eastAsia="Calibri" w:hAnsi="Calibri"/>
          <w:b/>
          <w:bCs/>
          <w:color w:val="1565C0"/>
          <w:sz w:val="21"/>
          <w:szCs w:val="21"/>
        </w:rPr>
        <w:t xml:space="preserve">OKR-CS-O1 — Ativação de demanda e monetização da base</w:t>
      </w:r>
    </w:p>
    <w:p>
      <w:pPr>
        <w:spacing w:before="60" w:after="40"/>
      </w:pPr>
      <w:r>
        <w:rPr>
          <w:rFonts w:ascii="Calibri" w:cs="Calibri" w:eastAsia="Calibri" w:hAnsi="Calibri"/>
          <w:b/>
          <w:bCs/>
          <w:color w:val="334155"/>
          <w:sz w:val="18"/>
          <w:szCs w:val="18"/>
        </w:rPr>
        <w:t xml:space="preserve">Objetivo: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O1</w:t>
      </w:r>
      <w:r>
        <w:rPr>
          <w:rFonts w:ascii="Calibri" w:cs="Calibri" w:eastAsia="Calibri" w:hAnsi="Calibri"/>
          <w:b/>
          <w:bCs/>
          <w:color w:val="334155"/>
          <w:sz w:val="18"/>
          <w:szCs w:val="18"/>
        </w:rPr>
        <w:t xml:space="preserve">  |  Programa: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CS-P1 · Ativação de Demanda e Monetização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334155"/>
          <w:sz w:val="18"/>
          <w:szCs w:val="18"/>
        </w:rPr>
        <w:t xml:space="preserve">Meta geral: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Reduzir saldo de 88.348 ha para ≤ 37.910 ha (mar) e "Baixa Execução" de ~42,7% para ≤ 25% (jun)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334155"/>
          <w:sz w:val="18"/>
          <w:szCs w:val="18"/>
        </w:rPr>
        <w:t xml:space="preserve">Baseline: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88.348 ha de saldo residual; ~42,7% da carteira em Baixa Execução</w:t>
      </w:r>
    </w:p>
    <w:p>
      <w:pPr>
        <w:spacing w:before="40" w:after="80"/>
      </w:pPr>
      <w:r>
        <w:rPr>
          <w:rFonts w:ascii="Calibri" w:cs="Calibri" w:eastAsia="Calibri" w:hAnsi="Calibri"/>
          <w:b/>
          <w:bCs/>
          <w:color w:val="334155"/>
          <w:sz w:val="18"/>
          <w:szCs w:val="18"/>
        </w:rPr>
        <w:t xml:space="preserve">Deadline: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Saldo Q1 (mar) | Baixa Execução Q2 (jun) | Ativação Top-14 Q2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54"/>
        <w:gridCol w:w="2200"/>
        <w:gridCol w:w="1800"/>
      </w:tblGrid>
      <w:tr>
        <w:trPr>
          <w:tblHeader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</w:t>
            </w:r>
          </w:p>
        </w:tc>
        <w:tc>
          <w:tcPr>
            <w:tcW w:type="dxa" w:w="4154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KR-CS-01</w:t>
            </w:r>
          </w:p>
        </w:tc>
        <w:tc>
          <w:tcPr>
            <w:tcW w:type="dxa" w:w="41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Sala de Situação operante: Top-14, plano 7/14/30, previsão 30/60/90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100% semanas com ata e log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Desde fev/2026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KR-CS-02</w:t>
            </w:r>
          </w:p>
        </w:tc>
        <w:tc>
          <w:tcPr>
            <w:tcW w:type="dxa" w:w="41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Executar ≥ 50.438 ha no Q1 — execução acumulada ~85%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≥ 50.438 ha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31/mar/2026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KR-CS-03</w:t>
            </w:r>
          </w:p>
        </w:tc>
        <w:tc>
          <w:tcPr>
            <w:tcW w:type="dxa" w:w="41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Reduzir saldo de 88.348 ha para ≤ 37.910 ha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Saldo ≤ 37.910 ha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31/mar/2026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KR-CS-04</w:t>
            </w:r>
          </w:p>
        </w:tc>
        <w:tc>
          <w:tcPr>
            <w:tcW w:type="dxa" w:w="41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Plano de ativação individual para cada Top-14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14/14 planos ativos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Mar/2026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KR-CS-05</w:t>
            </w:r>
          </w:p>
        </w:tc>
        <w:tc>
          <w:tcPr>
            <w:tcW w:type="dxa" w:w="41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Reduzir "Baixa Execução" de ~42,7% para ≤ 25%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≤ 25% da carteira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30/jun/2026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KR-CS-06</w:t>
            </w:r>
          </w:p>
        </w:tc>
        <w:tc>
          <w:tcPr>
            <w:tcW w:type="dxa" w:w="41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Ativação Top-14 ≥ 70% com execução mês a mês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≥ 70% ativos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Q2/2026</w:t>
            </w:r>
          </w:p>
        </w:tc>
      </w:tr>
    </w:tbl>
    <w:p>
      <w:pPr>
        <w:spacing w:before="200" w:after="1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OKR-CS-O2 — Retenção, renovação e satisfação</w:t>
      </w:r>
    </w:p>
    <w:p>
      <w:pPr>
        <w:spacing w:before="60" w:after="40"/>
      </w:pPr>
      <w:r>
        <w:rPr>
          <w:rFonts w:ascii="Calibri" w:cs="Calibri" w:eastAsia="Calibri" w:hAnsi="Calibri"/>
          <w:b/>
          <w:bCs/>
          <w:color w:val="334155"/>
          <w:sz w:val="18"/>
          <w:szCs w:val="18"/>
        </w:rPr>
        <w:t xml:space="preserve">Objetivo: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O2</w:t>
      </w:r>
      <w:r>
        <w:rPr>
          <w:rFonts w:ascii="Calibri" w:cs="Calibri" w:eastAsia="Calibri" w:hAnsi="Calibri"/>
          <w:b/>
          <w:bCs/>
          <w:color w:val="334155"/>
          <w:sz w:val="18"/>
          <w:szCs w:val="18"/>
        </w:rPr>
        <w:t xml:space="preserve">  |  Programa: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CS-P2 · Retenção, Renovação e Satisfação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334155"/>
          <w:sz w:val="18"/>
          <w:szCs w:val="18"/>
        </w:rPr>
        <w:t xml:space="preserve">Meta geral: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Implantar health score e NPS; taxa de renovação ≥ 85%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334155"/>
          <w:sz w:val="18"/>
          <w:szCs w:val="18"/>
        </w:rPr>
        <w:t xml:space="preserve">Baseline: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Health score e NPS inexistentes; taxa de renovação não medida</w:t>
      </w:r>
    </w:p>
    <w:p>
      <w:pPr>
        <w:spacing w:before="40" w:after="80"/>
      </w:pPr>
      <w:r>
        <w:rPr>
          <w:rFonts w:ascii="Calibri" w:cs="Calibri" w:eastAsia="Calibri" w:hAnsi="Calibri"/>
          <w:b/>
          <w:bCs/>
          <w:color w:val="334155"/>
          <w:sz w:val="18"/>
          <w:szCs w:val="18"/>
        </w:rPr>
        <w:t xml:space="preserve">Deadline: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Health score Q2 | NPS Q3 | Renovação contínuo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54"/>
        <w:gridCol w:w="2200"/>
        <w:gridCol w:w="1800"/>
      </w:tblGrid>
      <w:tr>
        <w:trPr>
          <w:tblHeader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</w:t>
            </w:r>
          </w:p>
        </w:tc>
        <w:tc>
          <w:tcPr>
            <w:tcW w:type="dxa" w:w="4154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KR-CS-07</w:t>
            </w:r>
          </w:p>
        </w:tc>
        <w:tc>
          <w:tcPr>
            <w:tcW w:type="dxa" w:w="41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Health score implantado para Top-14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14/14 com score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Q2/2026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KR-CS-08</w:t>
            </w:r>
          </w:p>
        </w:tc>
        <w:tc>
          <w:tcPr>
            <w:tcW w:type="dxa" w:w="41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Cadência mínima de contato por tier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≥ 90% aderência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Q2/2026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KR-CS-09</w:t>
            </w:r>
          </w:p>
        </w:tc>
        <w:tc>
          <w:tcPr>
            <w:tcW w:type="dxa" w:w="41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NPS ou pesquisa de satisfação — 1 ciclo formal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Baseline; meta ≥ 7,0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Q3/2026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KR-CS-10</w:t>
            </w:r>
          </w:p>
        </w:tc>
        <w:tc>
          <w:tcPr>
            <w:tcW w:type="dxa" w:w="41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Mapa de renovação 2026–2027 completo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100% elegíveis mapeados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Q3/2026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KR-CS-11</w:t>
            </w:r>
          </w:p>
        </w:tc>
        <w:tc>
          <w:tcPr>
            <w:tcW w:type="dxa" w:w="41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Taxa de renovação ≥ 85%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≥ 85%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Dez/2026</w:t>
            </w:r>
          </w:p>
        </w:tc>
      </w:tr>
    </w:tbl>
    <w:p>
      <w:r>
        <w:br w:type="page"/>
      </w:r>
    </w:p>
    <w:p>
      <w:pPr>
        <w:spacing w:before="200" w:after="100"/>
      </w:pPr>
      <w:r>
        <w:rPr>
          <w:rFonts w:ascii="Calibri" w:cs="Calibri" w:eastAsia="Calibri" w:hAnsi="Calibri"/>
          <w:b/>
          <w:bCs/>
          <w:color w:val="7B1FA2"/>
          <w:sz w:val="21"/>
          <w:szCs w:val="21"/>
        </w:rPr>
        <w:t xml:space="preserve">OKR-CS-O3 — Prova de valor e devolutiva</w:t>
      </w:r>
    </w:p>
    <w:p>
      <w:pPr>
        <w:spacing w:before="60" w:after="40"/>
      </w:pPr>
      <w:r>
        <w:rPr>
          <w:rFonts w:ascii="Calibri" w:cs="Calibri" w:eastAsia="Calibri" w:hAnsi="Calibri"/>
          <w:b/>
          <w:bCs/>
          <w:color w:val="334155"/>
          <w:sz w:val="18"/>
          <w:szCs w:val="18"/>
        </w:rPr>
        <w:t xml:space="preserve">Objetivo: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O3</w:t>
      </w:r>
      <w:r>
        <w:rPr>
          <w:rFonts w:ascii="Calibri" w:cs="Calibri" w:eastAsia="Calibri" w:hAnsi="Calibri"/>
          <w:b/>
          <w:bCs/>
          <w:color w:val="334155"/>
          <w:sz w:val="18"/>
          <w:szCs w:val="18"/>
        </w:rPr>
        <w:t xml:space="preserve">  |  Programa: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CS-P3 · Prova de Valor e Devolutiva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334155"/>
          <w:sz w:val="18"/>
          <w:szCs w:val="18"/>
        </w:rPr>
        <w:t xml:space="preserve">Meta geral: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≥ 70% Top-14 com pacote entregue mensalmente; devolutiva ≥ 50%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334155"/>
          <w:sz w:val="18"/>
          <w:szCs w:val="18"/>
        </w:rPr>
        <w:t xml:space="preserve">Baseline: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Prova de valor inexistente como pacote; devolutiva não estruturada</w:t>
      </w:r>
    </w:p>
    <w:p>
      <w:pPr>
        <w:spacing w:before="40" w:after="80"/>
      </w:pPr>
      <w:r>
        <w:rPr>
          <w:rFonts w:ascii="Calibri" w:cs="Calibri" w:eastAsia="Calibri" w:hAnsi="Calibri"/>
          <w:b/>
          <w:bCs/>
          <w:color w:val="334155"/>
          <w:sz w:val="18"/>
          <w:szCs w:val="18"/>
        </w:rPr>
        <w:t xml:space="preserve">Deadline: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Entregas Mar/2026 | Meta estável Jun/2026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54"/>
        <w:gridCol w:w="2200"/>
        <w:gridCol w:w="1800"/>
      </w:tblGrid>
      <w:tr>
        <w:trPr>
          <w:tblHeader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</w:t>
            </w:r>
          </w:p>
        </w:tc>
        <w:tc>
          <w:tcPr>
            <w:tcW w:type="dxa" w:w="4154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KR-CS-12</w:t>
            </w:r>
          </w:p>
        </w:tc>
        <w:tc>
          <w:tcPr>
            <w:tcW w:type="dxa" w:w="41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Pacote de prova de valor entregue mensalmente ao Top-14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≥ 70% Top-14/mês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Mar–Jun/2026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KR-CS-13</w:t>
            </w:r>
          </w:p>
        </w:tc>
        <w:tc>
          <w:tcPr>
            <w:tcW w:type="dxa" w:w="41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Devolutiva formal coletada e registrada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≥ 50% dos pacotes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Q2/2026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KR-CS-14</w:t>
            </w:r>
          </w:p>
        </w:tc>
        <w:tc>
          <w:tcPr>
            <w:tcW w:type="dxa" w:w="41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Feedback consolidado e devolvido ao P&amp;D mensalmente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Relatório mensal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Abr/2026 (início)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KR-CS-15</w:t>
            </w:r>
          </w:p>
        </w:tc>
        <w:tc>
          <w:tcPr>
            <w:tcW w:type="dxa" w:w="41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Relatório executivo de prova de valor v1.0 em uso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v1.0 publicada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Mar/2026</w:t>
            </w:r>
          </w:p>
        </w:tc>
      </w:tr>
    </w:tbl>
    <w:p>
      <w:pPr>
        <w:spacing w:before="12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none" w:color="FFFFFF" w:sz="0"/>
              <w:left w:val="single" w:color="B8860B" w:sz="18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170"/>
              <w:bottom w:type="dxa" w:w="80"/>
              <w:right w:type="dxa" w:w="120"/>
            </w:tcMar>
          </w:tcPr>
          <w:p>
            <w:pPr>
              <w:spacing w:before="0" w:after="0" w:line="252"/>
            </w:pPr>
            <w:r>
              <w:rPr>
                <w:rFonts w:ascii="Calibri" w:cs="Calibri" w:eastAsia="Calibri" w:hAnsi="Calibri"/>
                <w:i/>
                <w:iCs/>
                <w:color w:val="334155"/>
                <w:sz w:val="18"/>
                <w:szCs w:val="18"/>
              </w:rPr>
              <w:t xml:space="preserve">Dependência: KR-CS-12 e KR-CS-15 dependem de INIT-PD-004/005 (pacote de evidências e relatório padronizado). CS não controla prazo — monitora e escala bloqueio na WBR.</w:t>
            </w:r>
          </w:p>
        </w:tc>
      </w:tr>
    </w:tbl>
    <w:p>
      <w:pPr>
        <w:spacing w:before="200" w:after="100"/>
      </w:pPr>
      <w:r>
        <w:rPr>
          <w:rFonts w:ascii="Calibri" w:cs="Calibri" w:eastAsia="Calibri" w:hAnsi="Calibri"/>
          <w:b/>
          <w:bCs/>
          <w:color w:val="FF8F00"/>
          <w:sz w:val="21"/>
          <w:szCs w:val="21"/>
        </w:rPr>
        <w:t xml:space="preserve">OKR-CS-O4 — Expansão e interface institucional</w:t>
      </w:r>
    </w:p>
    <w:p>
      <w:pPr>
        <w:spacing w:before="60" w:after="40"/>
      </w:pPr>
      <w:r>
        <w:rPr>
          <w:rFonts w:ascii="Calibri" w:cs="Calibri" w:eastAsia="Calibri" w:hAnsi="Calibri"/>
          <w:b/>
          <w:bCs/>
          <w:color w:val="334155"/>
          <w:sz w:val="18"/>
          <w:szCs w:val="18"/>
        </w:rPr>
        <w:t xml:space="preserve">Objetivo: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O4</w:t>
      </w:r>
      <w:r>
        <w:rPr>
          <w:rFonts w:ascii="Calibri" w:cs="Calibri" w:eastAsia="Calibri" w:hAnsi="Calibri"/>
          <w:b/>
          <w:bCs/>
          <w:color w:val="334155"/>
          <w:sz w:val="18"/>
          <w:szCs w:val="18"/>
        </w:rPr>
        <w:t xml:space="preserve">  |  Programa: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CS-P4 · Expansão e Interface Institucional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334155"/>
          <w:sz w:val="18"/>
          <w:szCs w:val="18"/>
        </w:rPr>
        <w:t xml:space="preserve">Meta geral: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Capturar oportunidades reativas de expansão e preparar transição para Comercial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334155"/>
          <w:sz w:val="18"/>
          <w:szCs w:val="18"/>
        </w:rPr>
        <w:t xml:space="preserve">Baseline: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Sem processo formal de upsell/cross-sell; interface institucional concentrada na Direção</w:t>
      </w:r>
    </w:p>
    <w:p>
      <w:pPr>
        <w:spacing w:before="40" w:after="80"/>
      </w:pPr>
      <w:r>
        <w:rPr>
          <w:rFonts w:ascii="Calibri" w:cs="Calibri" w:eastAsia="Calibri" w:hAnsi="Calibri"/>
          <w:b/>
          <w:bCs/>
          <w:color w:val="334155"/>
          <w:sz w:val="18"/>
          <w:szCs w:val="18"/>
        </w:rPr>
        <w:t xml:space="preserve">Deadline: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Pipeline Q2 | Transição Q3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54"/>
        <w:gridCol w:w="2200"/>
        <w:gridCol w:w="1800"/>
      </w:tblGrid>
      <w:tr>
        <w:trPr>
          <w:tblHeader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</w:t>
            </w:r>
          </w:p>
        </w:tc>
        <w:tc>
          <w:tcPr>
            <w:tcW w:type="dxa" w:w="4154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KR-CS-16</w:t>
            </w:r>
          </w:p>
        </w:tc>
        <w:tc>
          <w:tcPr>
            <w:tcW w:type="dxa" w:w="41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Registro de oportunidades upsell/cross-sell na base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≥ 5 oportunidades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Q2/2026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KR-CS-17</w:t>
            </w:r>
          </w:p>
        </w:tc>
        <w:tc>
          <w:tcPr>
            <w:tcW w:type="dxa" w:w="41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Pipeline qualificado de prospects (CS absorve parcialmente)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≥ 3 prospects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Abr/2026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KR-CS-18</w:t>
            </w:r>
          </w:p>
        </w:tc>
        <w:tc>
          <w:tcPr>
            <w:tcW w:type="dxa" w:w="41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Plano de transição CS→Comercial documentado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v1.0 documentada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Q3/2026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KR-CS-19</w:t>
            </w:r>
          </w:p>
        </w:tc>
        <w:tc>
          <w:tcPr>
            <w:tcW w:type="dxa" w:w="41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Protocolo recurso próprio municipal reativo (Cal.#3)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Publicado e em uso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Q2/2026</w:t>
            </w:r>
          </w:p>
        </w:tc>
      </w:tr>
    </w:tbl>
    <w:p>
      <w:r>
        <w:br w:type="page"/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6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Placar do MBR — KPIs de acompanhamento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54"/>
        <w:gridCol w:w="1800"/>
        <w:gridCol w:w="190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3054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Meta / Referência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Frequência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Programa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Saldo residual (ha)</w:t>
            </w:r>
          </w:p>
        </w:tc>
        <w:tc>
          <w:tcPr>
            <w:tcW w:type="dxa" w:w="30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≤ 37.910 ha (mar) / decrescente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Semanal / Mensal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CS-P1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Taxa de execução acumulada</w:t>
            </w:r>
          </w:p>
        </w:tc>
        <w:tc>
          <w:tcPr>
            <w:tcW w:type="dxa" w:w="30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~85% (Q1) / crescente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CS-P1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Contratantes "Baixa Execução"</w:t>
            </w:r>
          </w:p>
        </w:tc>
        <w:tc>
          <w:tcPr>
            <w:tcW w:type="dxa" w:w="30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≤ 25% (jun)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CS-P1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Ativação Top-14</w:t>
            </w:r>
          </w:p>
        </w:tc>
        <w:tc>
          <w:tcPr>
            <w:tcW w:type="dxa" w:w="30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≥ 70% mês a mês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CS-P1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Previsão 30/60/90 acurácia</w:t>
            </w:r>
          </w:p>
        </w:tc>
        <w:tc>
          <w:tcPr>
            <w:tcW w:type="dxa" w:w="30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≥ 60% (Q1) → ≥ 75% (Q3)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CS-P1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Health score Top-14</w:t>
            </w:r>
          </w:p>
        </w:tc>
        <w:tc>
          <w:tcPr>
            <w:tcW w:type="dxa" w:w="30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Implantado Q2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CS-P2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NPS / Satisfação</w:t>
            </w:r>
          </w:p>
        </w:tc>
        <w:tc>
          <w:tcPr>
            <w:tcW w:type="dxa" w:w="30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Baseline Q3; ≥ 7,0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Trimestral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CS-P2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Taxa de renovação</w:t>
            </w:r>
          </w:p>
        </w:tc>
        <w:tc>
          <w:tcPr>
            <w:tcW w:type="dxa" w:w="30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≥ 85% (anual)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Trimestral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CS-P2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Prova de valor entregue</w:t>
            </w:r>
          </w:p>
        </w:tc>
        <w:tc>
          <w:tcPr>
            <w:tcW w:type="dxa" w:w="30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≥ 70% mensal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CS-P3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Devolutiva coletada</w:t>
            </w:r>
          </w:p>
        </w:tc>
        <w:tc>
          <w:tcPr>
            <w:tcW w:type="dxa" w:w="30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≥ 50% pacotes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CS-P3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Oportunidades expansão</w:t>
            </w:r>
          </w:p>
        </w:tc>
        <w:tc>
          <w:tcPr>
            <w:tcW w:type="dxa" w:w="30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≥ 5 (Q2)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Trimestral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CS-P4</w:t>
            </w:r>
          </w:p>
        </w:tc>
      </w:tr>
    </w:tbl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7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Riscos críticos e mitigações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54"/>
        <w:gridCol w:w="4100"/>
      </w:tblGrid>
      <w:tr>
        <w:trPr>
          <w:tblHeader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dxa" w:w="3054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41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Mitigação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P&amp;D atrasa pacote</w:t>
            </w:r>
          </w:p>
        </w:tc>
        <w:tc>
          <w:tcPr>
            <w:tcW w:type="dxa" w:w="30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Prova de valor depende de INIT-PD-004/005</w:t>
            </w:r>
          </w:p>
        </w:tc>
        <w:tc>
          <w:tcPr>
            <w:tcW w:type="dxa" w:w="41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Escalar WBR. Direção arbitra. CS produz versão simplificada como workaround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Equipe insuficiente</w:t>
            </w:r>
          </w:p>
        </w:tc>
        <w:tc>
          <w:tcPr>
            <w:tcW w:type="dxa" w:w="30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2-3 pessoas parciais para 60+ contratantes</w:t>
            </w:r>
          </w:p>
        </w:tc>
        <w:tc>
          <w:tcPr>
            <w:tcW w:type="dxa" w:w="41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Foco Pareto Top-14. Expandir após COO. Realocação temporária se crítico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Sala de Situação burocrática</w:t>
            </w:r>
          </w:p>
        </w:tc>
        <w:tc>
          <w:tcPr>
            <w:tcW w:type="dxa" w:w="30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Rito semanal perde substância</w:t>
            </w:r>
          </w:p>
        </w:tc>
        <w:tc>
          <w:tcPr>
            <w:tcW w:type="dxa" w:w="41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Direção quinzenal. Pauta com decisão obrigatória. Log DEC-* auditável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Contratante não engaja</w:t>
            </w:r>
          </w:p>
        </w:tc>
        <w:tc>
          <w:tcPr>
            <w:tcW w:type="dxa" w:w="30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Secretaria não prioriza devolutiva</w:t>
            </w:r>
          </w:p>
        </w:tc>
        <w:tc>
          <w:tcPr>
            <w:tcW w:type="dxa" w:w="41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Vincular entrega a visita presencial. Adaptar formato ao perfil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Comercial atrasa</w:t>
            </w:r>
          </w:p>
        </w:tc>
        <w:tc>
          <w:tcPr>
            <w:tcW w:type="dxa" w:w="30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Interface permanece com CS além do Q2</w:t>
            </w:r>
          </w:p>
        </w:tc>
        <w:tc>
          <w:tcPr>
            <w:tcW w:type="dxa" w:w="41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Plano de transição com deadlines. Escalar se não ativar Q3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CRM não implantado</w:t>
            </w:r>
          </w:p>
        </w:tc>
        <w:tc>
          <w:tcPr>
            <w:tcW w:type="dxa" w:w="30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Health score opera em planilha</w:t>
            </w:r>
          </w:p>
        </w:tc>
        <w:tc>
          <w:tcPr>
            <w:tcW w:type="dxa" w:w="41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Planilha Q1 como workaround. CRM projeto Q2 dentro do envelope</w:t>
            </w:r>
          </w:p>
        </w:tc>
      </w:tr>
    </w:tbl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8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Cadência de governança</w:t>
      </w:r>
    </w:p>
    <w:tbl>
      <w:tblPr>
        <w:tblW w:type="dxa" w:w="93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1200"/>
        <w:gridCol w:w="3454"/>
        <w:gridCol w:w="2398"/>
      </w:tblGrid>
      <w:tr>
        <w:trPr>
          <w:tblHeader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Cadência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Freq.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Foco</w:t>
            </w:r>
          </w:p>
        </w:tc>
        <w:tc>
          <w:tcPr>
            <w:tcW w:type="dxa" w:w="3454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Pauta fixa</w:t>
            </w:r>
          </w:p>
        </w:tc>
        <w:tc>
          <w:tcPr>
            <w:tcW w:type="dxa" w:w="2398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Saída obrigatória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WBR CS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Semanal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Execução</w:t>
            </w:r>
          </w:p>
        </w:tc>
        <w:tc>
          <w:tcPr>
            <w:tcW w:type="dxa" w:w="34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Saldo Top-14 · Plano 7/14/30 · Previsão · Bloqueios</w:t>
            </w:r>
          </w:p>
        </w:tc>
        <w:tc>
          <w:tcPr>
            <w:tcW w:type="dxa" w:w="2398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Ações + prazo + DEC-*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MBR CS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KPIs</w:t>
            </w:r>
          </w:p>
        </w:tc>
        <w:tc>
          <w:tcPr>
            <w:tcW w:type="dxa" w:w="34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Placar + guardrails · Programas · Health score · Renovação</w:t>
            </w:r>
          </w:p>
        </w:tc>
        <w:tc>
          <w:tcPr>
            <w:tcW w:type="dxa" w:w="2398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Ata + decisões + backlog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QBR CS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Trimestral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Estrutural</w:t>
            </w:r>
          </w:p>
        </w:tc>
        <w:tc>
          <w:tcPr>
            <w:tcW w:type="dxa" w:w="34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O1–O4 · NPS · Renovação · Interface Comercial · WIP</w:t>
            </w:r>
          </w:p>
        </w:tc>
        <w:tc>
          <w:tcPr>
            <w:tcW w:type="dxa" w:w="2398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Relatório + ajuste</w:t>
            </w:r>
          </w:p>
        </w:tc>
      </w:tr>
    </w:tbl>
    <w:p>
      <w:r>
        <w:br w:type="page"/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9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Glossário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4"/>
      </w:tblGrid>
      <w:tr>
        <w:trPr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Termo</w:t>
            </w:r>
          </w:p>
        </w:tc>
        <w:tc>
          <w:tcPr>
            <w:tcW w:type="dxa" w:w="6954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Definição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OKR</w:t>
            </w:r>
          </w:p>
        </w:tc>
        <w:tc>
          <w:tcPr>
            <w:tcW w:type="dxa" w:w="69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Objective and Key Result — objetivo com resultados mensuráveis e verificáveis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KR</w:t>
            </w:r>
          </w:p>
        </w:tc>
        <w:tc>
          <w:tcPr>
            <w:tcW w:type="dxa" w:w="69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Key Result — resultado-chave vinculado a um OKR; mensurável com deadline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O1–O4</w:t>
            </w:r>
          </w:p>
        </w:tc>
        <w:tc>
          <w:tcPr>
            <w:tcW w:type="dxa" w:w="69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Objetivos Estratégicos do Ano do CS — prioridades setoriais 2026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P2</w:t>
            </w:r>
          </w:p>
        </w:tc>
        <w:tc>
          <w:tcPr>
            <w:tcW w:type="dxa" w:w="69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Pilar PE2026 — Crescimento com Tese e Monetização da Base Contratual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CS-P1 a CS-P4</w:t>
            </w:r>
          </w:p>
        </w:tc>
        <w:tc>
          <w:tcPr>
            <w:tcW w:type="dxa" w:w="69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Programas setoriais do CS 2026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Sala de Situação</w:t>
            </w:r>
          </w:p>
        </w:tc>
        <w:tc>
          <w:tcPr>
            <w:tcW w:type="dxa" w:w="69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War room semanal — gestão do saldo, vazão e prioridades Pareto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Top-14</w:t>
            </w:r>
          </w:p>
        </w:tc>
        <w:tc>
          <w:tcPr>
            <w:tcW w:type="dxa" w:w="69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Os 14 maiores contratantes por saldo/receita — foco Pareto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Health score</w:t>
            </w:r>
          </w:p>
        </w:tc>
        <w:tc>
          <w:tcPr>
            <w:tcW w:type="dxa" w:w="69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Índice composto de saúde do relacionamento com contratante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Saldo residual</w:t>
            </w:r>
          </w:p>
        </w:tc>
        <w:tc>
          <w:tcPr>
            <w:tcW w:type="dxa" w:w="69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Hectares contratados mas não executados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Prova de valor</w:t>
            </w:r>
          </w:p>
        </w:tc>
        <w:tc>
          <w:tcPr>
            <w:tcW w:type="dxa" w:w="69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Pacote de evidências (P&amp;D) entregue por CS ao contratante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Devolutiva</w:t>
            </w:r>
          </w:p>
        </w:tc>
        <w:tc>
          <w:tcPr>
            <w:tcW w:type="dxa" w:w="69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Feedback formal do contratante sobre prova de valor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NPS</w:t>
            </w:r>
          </w:p>
        </w:tc>
        <w:tc>
          <w:tcPr>
            <w:tcW w:type="dxa" w:w="69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Net Promoter Score — índice de recomendação/satisfação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Churn institucional</w:t>
            </w:r>
          </w:p>
        </w:tc>
        <w:tc>
          <w:tcPr>
            <w:tcW w:type="dxa" w:w="69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Perda de contratante por insatisfação ou ausência de resultado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WBR / MBR / QBR</w:t>
            </w:r>
          </w:p>
        </w:tc>
        <w:tc>
          <w:tcPr>
            <w:tcW w:type="dxa" w:w="69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Cadências semanal / mensal / trimestral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WIP</w:t>
            </w:r>
          </w:p>
        </w:tc>
        <w:tc>
          <w:tcPr>
            <w:tcW w:type="dxa" w:w="69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Work in Progress — limite de iniciativas simultâneas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Evidência</w:t>
            </w:r>
          </w:p>
        </w:tc>
        <w:tc>
          <w:tcPr>
            <w:tcW w:type="dxa" w:w="69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Prova objetiva de execução: log, ata, painel, checklist</w:t>
            </w:r>
          </w:p>
        </w:tc>
      </w:tr>
    </w:tbl>
    <w:p>
      <w:pPr>
        <w:spacing w:before="400"/>
      </w:pPr>
    </w:p>
    <w:p>
      <w:r>
        <w:rPr>
          <w:rFonts w:ascii="Calibri" w:cs="Calibri" w:eastAsia="Calibri" w:hAnsi="Calibri"/>
          <w:i/>
          <w:iCs/>
          <w:color w:val="94A3B8"/>
          <w:sz w:val="16"/>
          <w:szCs w:val="16"/>
        </w:rPr>
        <w:t xml:space="preserve">DOC 11-E.1 v2.0 — Caderno Setorial CS / Relacionamento — Direção — Março/2026 — Confidencial — Uso interno da Direção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4"/>
      </w:pBdr>
    </w:pPr>
    <w:r>
      <w:rPr>
        <w:rFonts w:ascii="Calibri" w:cs="Calibri" w:eastAsia="Calibri" w:hAnsi="Calibri"/>
        <w:color w:val="94A3B8"/>
        <w:sz w:val="14"/>
        <w:szCs w:val="14"/>
      </w:rPr>
      <w:t xml:space="preserve">Confidencial — Uso interno da Direção</w:t>
    </w:r>
    <w:r>
      <w:ptab w:alignment="right" w:relativeTo="margin" w:leader="none"/>
    </w:r>
    <w:r>
      <w:rPr>
        <w:rFonts w:ascii="Calibri" w:cs="Calibri" w:eastAsia="Calibri" w:hAnsi="Calibri"/>
        <w:color w:val="94A3B8"/>
        <w:sz w:val="14"/>
        <w:szCs w:val="14"/>
      </w:rPr>
      <w:t xml:space="preserve">Página </w:t>
    </w:r>
    <w:r>
      <w:rPr>
        <w:rFonts w:ascii="Calibri" w:cs="Calibri" w:eastAsia="Calibri" w:hAnsi="Calibri"/>
        <w:color w:val="94A3B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4A3B8"/>
        <w:sz w:val="14"/>
        <w:szCs w:val="14"/>
      </w:rPr>
      <w:t xml:space="preserve"> | </w:t>
    </w:r>
    <w:r>
      <w:rPr>
        <w:rFonts w:ascii="Calibri" w:cs="Calibri" w:eastAsia="Calibri" w:hAnsi="Calibri"/>
        <w:color w:val="94A3B8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980B9" w:sz="4" w:space="4"/>
      </w:pBdr>
    </w:pPr>
    <w:r>
      <w:rPr>
        <w:rFonts w:ascii="Calibri" w:cs="Calibri" w:eastAsia="Calibri" w:hAnsi="Calibri"/>
        <w:b/>
        <w:bCs/>
        <w:color w:val="2980B9"/>
        <w:sz w:val="16"/>
        <w:szCs w:val="16"/>
      </w:rPr>
      <w:t xml:space="preserve">PE 2026</w:t>
    </w:r>
    <w:r>
      <w:rPr>
        <w:rFonts w:ascii="Calibri" w:cs="Calibri" w:eastAsia="Calibri" w:hAnsi="Calibri"/>
        <w:color w:val="94A3B8"/>
        <w:sz w:val="16"/>
        <w:szCs w:val="16"/>
      </w:rPr>
      <w:t xml:space="preserve">    DOC 11-E.1 — CS Direção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2026-03-15T18:51:15.093Z</dcterms:created>
  <dcterms:modified xsi:type="dcterms:W3CDTF">2026-03-15T18:51:15.093Z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