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980B9" w:sz="12" w:space="8"/>
        </w:pBdr>
        <w:spacing w:after="200"/>
      </w:pPr>
      <w:r>
        <w:rPr>
          <w:rFonts w:ascii="Calibri Light" w:cs="Calibri Light" w:eastAsia="Calibri Light" w:hAnsi="Calibri Light"/>
          <w:color w:val="94A3B8"/>
          <w:spacing w:val="120"/>
          <w:sz w:val="20"/>
          <w:szCs w:val="20"/>
        </w:rPr>
        <w:t xml:space="preserve">PLANEJAMENTO ESTRATÉGICO 2026</w:t>
      </w:r>
    </w:p>
    <w:p>
      <w:pPr>
        <w:spacing w:after="80"/>
      </w:pPr>
      <w:r>
        <w:rPr>
          <w:rFonts w:ascii="Calibri Light" w:cs="Calibri Light" w:eastAsia="Calibri Light" w:hAnsi="Calibri Light"/>
          <w:color w:val="0C2340"/>
          <w:sz w:val="52"/>
          <w:szCs w:val="52"/>
        </w:rPr>
        <w:t xml:space="preserve">DOC 11-E.2</w:t>
      </w:r>
    </w:p>
    <w:p>
      <w:pPr>
        <w:spacing w:after="60"/>
      </w:pPr>
      <w:r>
        <w:rPr>
          <w:rFonts w:ascii="Calibri Light" w:cs="Calibri Light" w:eastAsia="Calibri Light" w:hAnsi="Calibri Light"/>
          <w:color w:val="163B5C"/>
          <w:sz w:val="36"/>
          <w:szCs w:val="36"/>
        </w:rPr>
        <w:t xml:space="preserve">Caderno Setorial — Execução</w:t>
      </w:r>
    </w:p>
    <w:p>
      <w:pPr>
        <w:spacing w:after="24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CS / Relacionamento com Contratante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Programas · Iniciativas · Evidências · Plano Q1</w:t>
      </w:r>
    </w:p>
    <w:p>
      <w:pPr>
        <w:spacing w:before="6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4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Versão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Data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Camada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— MBR (Execução)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Lacunas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LC-05 · LR-06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63B5C"/>
                <w:sz w:val="18"/>
                <w:szCs w:val="18"/>
              </w:rPr>
              <w:t xml:space="preserve">Princípio central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 converte contrato em caixa — tudo é executável e cobrável</w:t>
            </w:r>
          </w:p>
        </w:tc>
      </w:tr>
    </w:tbl>
    <w:p>
      <w:pPr>
        <w:spacing w:before="800"/>
      </w:pPr>
    </w:p>
    <w:p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Aero Engenharia + Techdengue · Geotecnologia e Drones</w:t>
      </w:r>
    </w:p>
    <w:p>
      <w:pPr>
        <w:sectPr>
          <w:pgSz w:w="11906" w:h="16838" w:orient="portrait"/>
          <w:pgMar w:top="1134" w:right="1134" w:bottom="1134" w:left="1418" w:header="708" w:footer="708" w:gutter="0"/>
          <w:pgNumType/>
          <w:docGrid w:linePitch="360"/>
        </w:sectPr>
      </w:pP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1. Princípios de execução e arquitetura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2. Mapa de execução — visão geral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3. CS-P1 · Ativação de Demanda e Monetização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4. CS-P2 · Retenção, Renovação e Satisfação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5. CS-P3 · Prova de Valor e Devolutiva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6. CS-P4 · Expansão e Interface Institucional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7. Plano de 90 dias — marcos Q1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8. Cadência e governança</w:t>
      </w:r>
    </w:p>
    <w:p>
      <w:pPr>
        <w:tabs>
          <w:tab w:val="right" w:pos="9354" w:leader="dot"/>
        </w:tabs>
        <w:spacing w:before="40" w:after="40"/>
      </w:pPr>
      <w:r>
        <w:rPr>
          <w:rFonts w:ascii="Calibri" w:cs="Calibri" w:eastAsia="Calibri" w:hAnsi="Calibri"/>
          <w:color w:val="163B5C"/>
          <w:sz w:val="19"/>
          <w:szCs w:val="19"/>
        </w:rPr>
        <w:t xml:space="preserve">9. Glossário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Princípios de execução e arquitetura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Sem programa não entra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Toda INIT pertence a CS-P1, CS-P2, CS-P3 ou CS-P4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Sem Sponsor+Dono não existe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Iniciativa sem dono não entra no plano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WIP Q1: foco CS-P1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Q1 concentra em ativação e Sala de Situação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 evidência verificável = não concluída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Tipo define comportamento</w:t>
            </w:r>
          </w:p>
        </w:tc>
        <w:tc>
          <w:tcPr>
            <w:tcW w:type="dxa" w:w="63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ROTINA: cadência fixa | IMPLANTAÇÃO: instala→rotina | PROJETO: início/fim</w:t>
            </w:r>
          </w:p>
        </w:tc>
      </w:tr>
    </w:tbl>
    <w:p>
      <w:pPr>
        <w:spacing w:before="160"/>
      </w:pP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Matriz de responsabilidades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Sponsor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Garante prioridade, destrava decisões — nível Direção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Dono (Accountable)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Responde pelo resultado e evidência — 1 pessoa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Executa e entrega evidência — pode ser mais de um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Partners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Áreas necessárias: Operação, P&amp;D, Financeiro, Marketing, Comercial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Sign-off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Valida formalmente que entrega está concluída</w:t>
            </w:r>
          </w:p>
        </w:tc>
      </w:tr>
    </w:tbl>
    <w:p>
      <w:pPr>
        <w:spacing w:before="8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0E8C6B" w:sz="18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Padrão de evidência: CS2026/&lt;Programa&gt;/&lt;Iniciativa&gt;/EVID_AAAAMM_descrição.pdf|md|xlsx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Mapa de execução — visão geral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800"/>
        <w:gridCol w:w="2554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INITs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Obj.</w:t>
            </w:r>
          </w:p>
        </w:tc>
        <w:tc>
          <w:tcPr>
            <w:tcW w:type="dxa" w:w="25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Ativação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CS-P1 · Ativação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KR-CS-01 a 06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P1.1–P1.4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O1</w:t>
            </w:r>
          </w:p>
        </w:tc>
        <w:tc>
          <w:tcPr>
            <w:tcW w:type="dxa" w:w="2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Q1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CS-P2 · Retenção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KR-CS-07 a 11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P2.1–P2.4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O2</w:t>
            </w:r>
          </w:p>
        </w:tc>
        <w:tc>
          <w:tcPr>
            <w:tcW w:type="dxa" w:w="2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Q1/Q2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18"/>
                <w:szCs w:val="18"/>
              </w:rPr>
              <w:t xml:space="preserve">CS-P3 · Prova de Valor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KR-CS-12 a 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P3.1–P3.3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O3</w:t>
            </w:r>
          </w:p>
        </w:tc>
        <w:tc>
          <w:tcPr>
            <w:tcW w:type="dxa" w:w="2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Q1 (dep. P&amp;D)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FF8F00"/>
                <w:sz w:val="18"/>
                <w:szCs w:val="18"/>
              </w:rPr>
              <w:t xml:space="preserve">CS-P4 · Expansão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KR-CS-16 a 19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P4.1–P4.4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O4</w:t>
            </w:r>
          </w:p>
        </w:tc>
        <w:tc>
          <w:tcPr>
            <w:tcW w:type="dxa" w:w="2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Q2/Q3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CS-P1 · Ativação de Demanda e Monetização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Resolve: saldo residual de 88.348 ha, execução abaixo do potencial, ausência de plano por contratante.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54"/>
        <w:gridCol w:w="200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P1-M1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 operante semanalmente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Fev/2026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P1-M2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≤ 37.910 ha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P1-M3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14/14 planos de ativação ativos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P1-M4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"Baixa Execução" ≤ 25%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P1-M5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Ativação Top-14 ≥ 70%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</w:tbl>
    <w:p>
      <w:pPr>
        <w:spacing w:before="200" w:after="80"/>
      </w:pPr>
      <w:r>
        <w:rPr>
          <w:rFonts w:ascii="Calibri" w:cs="Calibri" w:eastAsia="Calibri" w:hAnsi="Calibri"/>
          <w:b/>
          <w:bCs/>
          <w:color w:val="1565C0"/>
          <w:sz w:val="21"/>
          <w:szCs w:val="21"/>
        </w:rPr>
        <w:t xml:space="preserve">P1.1 — Sala de Situação / War Room semanal [ROTINA]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Sem rito semanal, gestão de saldo é ad hoc. Bloqueios não escalam, previsibilidade inexiste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Visibilidade semanal de saldo, vazão e bloqueios. Top-14 com responsável, plano 7/14/30, previsão 30/60/90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Pauta fixa: saldo Top-14, vazão, bloqueios, plano 7/14/30, previsão 30/60/90. (2) Facilitador + participantes obrigatórios (CS+Op+Dados). (3) Ata com log DEC-*. (4) Semanal desde fev/2026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100% semanas com ata e log DEC-* ✓ Top-14 com responsável e plano ✓ Previsão 30/60/90 semanal ✓ Acurácia ≥60% (Q1) → ≥75% (Q3)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Evidências: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Atas semanais · Previsão 30/60/90 exportável · Registro de acurácia mensal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Riscos: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Burocrático → decisão obrigatória + Direção quinzenal. Dados defasados → integração Financeiro/Operação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Resp.: CS+Op+Dados | Sign-off: Direção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565C0"/>
          <w:sz w:val="21"/>
          <w:szCs w:val="21"/>
        </w:rPr>
        <w:t xml:space="preserve">P1.2 — Planos de ativação individual Top-14 [IMPLANTAÇÃO]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Top-14 concentra ~70% do saldo. Sem plano individual, ativação genérica e ineficaz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Cada contratante com diagnóstico de bloqueio, plano, responsável e prazo. Ativação vira gestão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Mapear Top-14. (2) Diagnóstico por contratante (burocrático, técnico, político, operacional). (3) Ações com responsável/prazo. (4) Registrar na Sala de Situação. (5) Acompanhamento semanal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14/14 planos ativos ✓ Revisão semanal ✓ Evolução mensal registrada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Evidências: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Planos documentados · Registro de evolução · Saldo antes/depois por contratante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Riscos: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Bloqueio político → escalação Direção + visita presencial. Causa desconhecida → diagnóstico presencial obrigatório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Resp.: Analistas CS | Partners: Operação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565C0"/>
          <w:sz w:val="21"/>
          <w:szCs w:val="21"/>
        </w:rPr>
        <w:t xml:space="preserve">P1.3 — Painel de saldo e vazão [IMPLANTAÇÃO]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Sala de Situação precisa de dados consolidados. Sem painel, gestão em planilha defasada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Saldo, vazão, idade do contrato e previsão em formato visual acessível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Q1: planilha workaround (Financeiro+Op). (2) Q2: painel integrado (INIT-PD-006/007). (3) Campos: contratante, saldo, última execução, dias sem exec., responsável, status, previsão. (4) Atualização semanal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Planilha operante Q1 com atualização semanal ✓ Migração painel Q2 (dep. P&amp;D) ✓ Dados disponíveis para WBR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Evidências: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Planilha versionada · Screenshots painel · Log de atualizações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Riscos: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P&amp;D não entrega painel Q2 → planilha permanece como workaround com SLA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Resp.: CS+Dados | Partners: Financeiro, P&amp;D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565C0"/>
          <w:sz w:val="21"/>
          <w:szCs w:val="21"/>
        </w:rPr>
        <w:t xml:space="preserve">P1.4 — Protocolo de desbloqueio de execução [IMPLANTAÇÃO]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Bloqueios tratados caso a caso. Sem protocolo, resolução depende de improviso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Protocolo padrão: tipo de bloqueio → ação → responsável → SLA → escalação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Mapear 5 tipos mais frequentes. (2) Ação padrão + responsável + SLA por tipo. (3) Regra de escalação. (4) Comunicar equipe CS e Operação. (5) Medir aderência no MBR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Protocolo publicado com 5+ tipos ✓ Comunicado ✓ ≥80% bloqueios tratados conforme protocolo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Evidências: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Protocolo documentado · Registro de uso por tipo · Aderência mensal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Riscos: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Protocolo rígido → revisão trimestral. Resistência → treinamento com exemplos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Resp.: CS | Partners: Operação, Financeiro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i/>
          <w:iCs/>
          <w:color w:val="1565C0"/>
          <w:sz w:val="18"/>
          <w:szCs w:val="18"/>
        </w:rPr>
        <w:t xml:space="preserve">KPIs do CS-P1: Saldo residual (ha) semanal · Taxa execução acumulada (mensal) · % "Baixa Execução" (mensal) · Ativação Top-14 % (mensal) · Acurácia previsão 30/60/90 (mensal)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CS-P2 · Retenção, Renovação e Satisfação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Resolve: risco de churn institucional, renovação sem método, satisfação não medida.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54"/>
        <w:gridCol w:w="200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P2-M1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Health score Top-14 mensal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P2-M2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Cadência contato ≥90% aderência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P2-M3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NPS com baseline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Q3/2026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P2-M4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Mapa renovação completo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Q3/2026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P2-M5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Taxa renovação ≥85%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Dez/2026</w:t>
            </w:r>
          </w:p>
        </w:tc>
      </w:tr>
    </w:tbl>
    <w:p>
      <w:pPr>
        <w:spacing w:before="200"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P2.1 — Health score por contratante [IMPLANTAÇÃO]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Sem indicador de saúde, risco de churn é invisível até a não-renovação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Top-14 com score composto: execução, contato, satisfação, pagamento, engajamento prova de valor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Definir composição e pesos. (2) Escala Verde/Amarelo/Vermelho. (3) Popular planilha Top-14. (4) Atualização mensal. (5) Migrar CRM Q2/Q3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Composição documentada ✓ 14/14 com score ✓ Leitura mensal MBR ✓ Ação para Vermelho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Evidências: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Composição do score · Planilha/painel mensal · Registro ações Vermelho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Resp.: Analistas CS | Partners: Financeiro, Op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P2.2 — Cadência de contato por tier [ROTINA]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Contato irregular — menores esquecidos, maiores só em crise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Tier 1 (Top-14) semanal · Tier 2 (Top-30) quinzenal/mensal · Tier 3 bimestral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Classificar tiers. (2) Formato mínimo (call, visita, email). (3) Registrar contato. (4) Medir aderência mensal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Tiers publicados ✓ ≥90% aderência ✓ Registro verificável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Evidências: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Classificação de tiers · Log de contatos · Aderência mensal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Resp.: Analistas CS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P2.3 — NPS / Pesquisa de satisfação [PROJETO]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Satisfação nunca medida formalmente. Sem baseline, impossível melhorar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Baseline de satisfação. Áreas de melhoria identificadas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Instrumento 5-10 perguntas. (2) Amostra ≥50% base ativa. (3) Aplicar Q2/Q3. (4) Consolidar no QBR. (5) Plano de ação por gap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Aplicado em ≥1 ciclo com ≥50% amostra ✓ Baseline publicado ✓ Plano por gap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Evidências: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Instrumento · Resultados consolidados · Plano de ação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Riscos: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Baixa resposta → follow-up por call. Viés → anonimato + diversidade de tiers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Partners: Marketing (formato)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P2.4 — Mapa de renovação 2026–2027 [PROJETO]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Renovações ad hoc perto do vencimento. Sem mapa, perde janela de preparação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Todos os contratos com data, risco e plano ≥90 dias de antecedência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Levantar contratos + datas. (2) Classificar risco Alto/Médio/Baixo. (3) Plano de abordagem ≥90 dias. (4) MBR. (5) Handoff Comercial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100% elegíveis mapeados ✓ Risco classificado ✓ Plano ≥90 dias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Evidências: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Mapa com datas/risco/plano · Registro de abordagens · Taxa renovação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Partners: Financeiro, Comercial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i/>
          <w:iCs/>
          <w:color w:val="2E7D32"/>
          <w:sz w:val="18"/>
          <w:szCs w:val="18"/>
        </w:rPr>
        <w:t xml:space="preserve">KPIs do CS-P2: Health score distribuição V/A/V (mensal) · Aderência cadência contato (mensal) · NPS (trimestral) · Taxa renovação (trimestral)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CS-P3 · Prova de Valor e Devolutiva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Resolve: contratante não percebe resultado, prova de valor não chega, feedback não retorna ao P&amp;D.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54"/>
        <w:gridCol w:w="200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P3-M1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≥70% Top-14 com pacote mensal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Mar–Jun/2026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P3-M2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Devolutiva ≥50% pacotes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P3-M3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Loop feedback CS→P&amp;D mensal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</w:tr>
    </w:tbl>
    <w:p>
      <w:pPr>
        <w:spacing w:before="200" w:after="80"/>
      </w:pPr>
      <w:r>
        <w:rPr>
          <w:rFonts w:ascii="Calibri" w:cs="Calibri" w:eastAsia="Calibri" w:hAnsi="Calibri"/>
          <w:b/>
          <w:bCs/>
          <w:color w:val="7B1FA2"/>
          <w:sz w:val="21"/>
          <w:szCs w:val="21"/>
        </w:rPr>
        <w:t xml:space="preserve">P3.1 — Distribuição do pacote de prova de valor [ROTINA]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P&amp;D produz, mas sem distribuição padronizada o pacote morre no repositório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CS entrega mensalmente com briefing contextualizado. Contratante percebe resultado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Receber pacote P&amp;D (INIT-PD-004/005). (2) Briefing por contratante. (3) Entregar via canal preferencial. (4) Registrar. (5) Medir % Top-14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≥70% Top-14/mês ✓ Briefing contextualizado ✓ Registro verificável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Riscos: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P&amp;D atrasa → escalar WBR + CS produz versão simplificada. Não abre → vincular a contato ativo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Resp.: Analistas CS | Partners: P&amp;D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7B1FA2"/>
          <w:sz w:val="21"/>
          <w:szCs w:val="21"/>
        </w:rPr>
        <w:t xml:space="preserve">P3.2 — Coleta de devolutiva formal [ROTINA]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Sem devolutiva, empresa não sabe se contratante percebe valor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Para cada pacote, devolutiva estruturada (3-5 perguntas). Resultado alimenta P&amp;D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Formulário 3-5 perguntas. (2) Aplicar após entrega — prazo 15 dias. (3) Registrar. (4) Consolidar mensalmente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≥50% pacotes com devolutiva ✓ Formulário padronizado ✓ Consolidação mensal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Evidências: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Formulários preenchidos · Consolidação mensal · % devolutiva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Partners: P&amp;D (consumo)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7B1FA2"/>
          <w:sz w:val="21"/>
          <w:szCs w:val="21"/>
        </w:rPr>
        <w:t xml:space="preserve">P3.3 — Loop de feedback CS→P&amp;D [ROTINA]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P&amp;D produz sem feedback do campo. Ciclo aberto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Ciclo fechado: P&amp;D produz → CS entrega → contratante devolve → CS consolida → P&amp;D ajusta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Consolidar devolutivas do mês. (2) Relatório mensal para P&amp;D. (3) Reunião mensal CS↔P&amp;D. (4) Registrar ações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Relatório mensal desde Abr/2026 ✓ Reunião mensal com ata ✓ Ações acompanhadas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Evidências: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Relatórios mensais · Atas CS↔P&amp;D · Log de ações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Resp.: CS+P&amp;D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i/>
          <w:iCs/>
          <w:color w:val="7B1FA2"/>
          <w:sz w:val="18"/>
          <w:szCs w:val="18"/>
        </w:rPr>
        <w:t xml:space="preserve">KPIs do CS-P3: % Top-14 com pacote/mês (mensal) · % devolutiva coletada (mensal) · Relatório feedback P&amp;D entregue (mensal — binário)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CS-P4 · Expansão e Interface Institucional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Resolve: oportunidades de expansão não capturadas, transição Comercial não planejada, recurso próprio sem protocolo.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154"/>
        <w:gridCol w:w="2000"/>
      </w:tblGrid>
      <w:tr>
        <w:trPr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P4-M1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≥5 oportunidades upsell registradas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P4-M2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≥3 prospects qualificados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Abr/2026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P4-M3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Plano transição CS→Comercial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Q3/2026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P4-M4</w:t>
            </w:r>
          </w:p>
        </w:tc>
        <w:tc>
          <w:tcPr>
            <w:tcW w:type="dxa" w:w="61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Protocolo recurso próprio reativo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Q2/2026</w:t>
            </w:r>
          </w:p>
        </w:tc>
      </w:tr>
    </w:tbl>
    <w:p>
      <w:pPr>
        <w:spacing w:before="200" w:after="80"/>
      </w:pPr>
      <w:r>
        <w:rPr>
          <w:rFonts w:ascii="Calibri" w:cs="Calibri" w:eastAsia="Calibri" w:hAnsi="Calibri"/>
          <w:b/>
          <w:bCs/>
          <w:color w:val="FF8F00"/>
          <w:sz w:val="21"/>
          <w:szCs w:val="21"/>
        </w:rPr>
        <w:t xml:space="preserve">P4.1 — Registro de oportunidades upsell/cross-sell [ROTINA]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CS identifica oportunidades no contato diário, mas sem registro elas se perdem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Oportunidade registrada com contratante, tipo, valor estimado, status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Template: contratante, tipo, valor, data, responsável. (2) Comunicar equipe. (3) Registro reativo. (4) Consolidar MBR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Template em uso ✓ ≥5 registradas Q2 ✓ Consolidação mensal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Resp.: Analistas CS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FF8F00"/>
          <w:sz w:val="21"/>
          <w:szCs w:val="21"/>
        </w:rPr>
        <w:t xml:space="preserve">P4.2 — Pipeline qualificado (absorção parcial) [IMPLANTAÇÃO]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Sem Comercial ativa, CS mantém pipeline mínimo (KR-P3.5 ≥3 prospects)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Pipeline mínimo de 3 prospects qualificados até Comercial assumir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Mapear contatos com interesse. (2) Qualificar: necessidade, orçamento, decisor. (3) Registrar. (4) Transferir para Comercial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≥3 prospects qualificados Abr/2026 ✓ Qualificação documentada ✓ Handoff quando Comercial ativar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Riscos: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CS sobrecarregado → limitar a contatos reativos/referenciados. Nunca desviar de CS-P1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Partners: Marketing (leads)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FF8F00"/>
          <w:sz w:val="21"/>
          <w:szCs w:val="21"/>
        </w:rPr>
        <w:t xml:space="preserve">P4.3 — Plano de transição CS→Comercial [PROJETO]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Comercial será criada em 2026. Sem plano, transição gera ruído e perda de relacionamento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Documento formal: escopo, responsabilidades, cronograma, handoff por contratante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Mapear atividades institucionais atuais. (2) Classificar: transfere/permanece/compartilhada. (3) Cronograma. (4) Handoff por contratante. (5) Aprovar com Direção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Plano v1.0 aprovado ✓ Mapeamento concluído ✓ Cronograma definido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Riscos: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Comercial não ativar → standby, CS mantém. Perda de contexto → ficha por contratante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Partners: Comercial, RH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FF8F00"/>
          <w:sz w:val="21"/>
          <w:szCs w:val="21"/>
        </w:rPr>
        <w:t xml:space="preserve">P4.4 — Protocolo recurso próprio municipal reativo [IMPLANTAÇÃO]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Por que existe: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Recurso próprio é 100% reativo (Cal.#3). Sem protocolo, resposta é improvisada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O que muda: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Fluxo padrão: sinalização → qualificação → proposta → registro. SLA ≤5 dias úteis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Como executar: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(1) Documentar fluxo. (2) SLA ≤5 dias. (3) Proposta-padrão adaptável. (4) Comunicar equipe. (5) Medir aderência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Critério de pronto: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✓ Protocolo publicado ✓ SLA definido ✓ ≥80% sinalizações no protocolo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Evidências: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Protocolo documentado · Log sinalizações/respostas · Aderência SLA</w:t>
      </w:r>
    </w:p>
    <w:p>
      <w:pPr>
        <w:spacing w:before="50" w:after="50" w:line="264"/>
        <w:jc w:val="both"/>
      </w:pPr>
      <w:r>
        <w:rPr>
          <w:rFonts w:ascii="Calibri" w:cs="Calibri" w:eastAsia="Calibri" w:hAnsi="Calibri"/>
          <w:b/>
          <w:bCs/>
          <w:color w:val="163B5C"/>
          <w:sz w:val="19"/>
          <w:szCs w:val="19"/>
        </w:rPr>
        <w:t xml:space="preserve">Responsabilidades: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Sponsor: Direção | Dono: Coordenador CS | Partners: Comercial, Financeiro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i/>
          <w:iCs/>
          <w:color w:val="FF8F00"/>
          <w:sz w:val="18"/>
          <w:szCs w:val="18"/>
        </w:rPr>
        <w:t xml:space="preserve">KPIs do CS-P4: Oportunidades registradas (trimestral) · Prospects qualificados (trimestral) · Status transição (QBR — semáforo) · Sinalizações recurso próprio no SLA (trimestral)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Plano de 90 dias — marcos Q1</w:t>
      </w:r>
    </w:p>
    <w:p>
      <w:pPr>
        <w:spacing w:before="60" w:after="6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Q1 instala o sistema mínimo. Foco absoluto em CS-P1. Demais programas ativam conforme capacidade.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000"/>
        <w:gridCol w:w="2254"/>
        <w:gridCol w:w="16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Horizonte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CS-P1 · Ativação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CS-P2 · Retenção</w:t>
            </w:r>
          </w:p>
        </w:tc>
        <w:tc>
          <w:tcPr>
            <w:tcW w:type="dxa" w:w="22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CS-P3 · Prova de Valor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CS-P4 · Expansão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30 dias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 operante · Top-14 mapeados · Planos individuais iniciados · Planilha saldo v1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Tiers definidos · Composição health score desenhada</w:t>
            </w:r>
          </w:p>
        </w:tc>
        <w:tc>
          <w:tcPr>
            <w:tcW w:type="dxa" w:w="2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Formato entrega definido · Dependência P&amp;D formalizada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Template registro oportunidades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60 dias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14/14 planos ativos · Protocolo desbloqueio v1 · Previsão 30/60/90 em uso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Cadência contato iniciada · Health score piloto Top-5</w:t>
            </w:r>
          </w:p>
        </w:tc>
        <w:tc>
          <w:tcPr>
            <w:tcW w:type="dxa" w:w="2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1ª entrega pacote Top-14 (se P&amp;D entregou) · Formulário devolutiva definido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Mapeamento contatos com interesse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90 dias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Saldo ≤37.910 ha · Acurácia medida · 1º MBR CS com placar completo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Health score Top-14 operante · Cadência ≥80%</w:t>
            </w:r>
          </w:p>
        </w:tc>
        <w:tc>
          <w:tcPr>
            <w:tcW w:type="dxa" w:w="22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≥70% Top-14 com pacote · 1ª devolutiva coletada · Relatório P&amp;D preparado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≥3 prospects qualificados · Protocolo recurso próprio em construção</w:t>
            </w:r>
          </w:p>
        </w:tc>
      </w:tr>
    </w:tbl>
    <w:p>
      <w:pPr>
        <w:spacing w:before="12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none" w:color="FFFFFF" w:sz="0"/>
              <w:left w:val="single" w:color="0C2340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70"/>
              <w:bottom w:type="dxa" w:w="80"/>
              <w:right w:type="dxa" w:w="120"/>
            </w:tcMar>
          </w:tcPr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Limite de WIP: CS-P1 é prioridade absoluta no Q1. Se capacidade insuficiente, CS-P2 e CS-P3 ajustam ritmo. CS-P4 entra formalmente no Q2.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Cadência e governança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554"/>
        <w:gridCol w:w="200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35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Saída obrigatória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WBR CS (Sala de Situação)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Semanal</w:t>
            </w:r>
          </w:p>
        </w:tc>
        <w:tc>
          <w:tcPr>
            <w:tcW w:type="dxa" w:w="3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Execução, bloqueios, Top-14, saldo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Ações + prazo + DEC-*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MBR CS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3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KPIs + guardrails + programas + health score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Ata + decisões + backlog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QBR CS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35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O1–O4, NPS, renovação, Comercial, WIP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Relatório + decisões estruturais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2980B9" w:sz="6"/>
              <w:right w:val="none" w:color="FFFFFF" w:sz="0"/>
            </w:tcBorders>
            <w:shd w:fill="0C2340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ROTINA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Cadência fixa, não "termina" — permanente no plano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IMPLANTAÇÃO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Instala sistema → vira rotina — tem marco de conclusão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PROJETO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Início, fim e entrega fechada — encerra após conclusão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Evidência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 objetiva: log, ata, painel, checklist, resultado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DoD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Critério objetivo de conclusão de entrega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SLA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Prazo/nível de serviço — descumprimento aciona guardrail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WIP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Limite de iniciativas pesadas simultâneas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Sala de Situação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War room semanal — saldo, vazão, prioridades Pareto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Health score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Índice composto de saúde do relacionamento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Devolutiva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Feedback formal do contratante sobre prova de valor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Top-14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Os 14 maiores contratantes — foco Pareto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Tier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1F5F9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Classificação de contratantes para cadência de atendimento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WBR / MBR / QBR</w:t>
            </w:r>
          </w:p>
        </w:tc>
        <w:tc>
          <w:tcPr>
            <w:tcW w:type="dxa" w:w="6954"/>
            <w:tcBorders>
              <w:top w:val="none" w:color="FFFFFF" w:sz="0"/>
              <w:left w:val="none" w:color="FFFFFF" w:sz="0"/>
              <w:bottom w:val="single" w:color="D1D5DB" w:sz="2"/>
              <w:right w:val="none" w:color="FFFFFF" w:sz="0"/>
            </w:tcBorders>
            <w:shd w:fill="FFFFFF" w:val="clear"/>
            <w:tcMar>
              <w:top w:type="dxa" w:w="57"/>
              <w:left w:type="dxa" w:w="85"/>
              <w:bottom w:type="dxa" w:w="57"/>
              <w:right w:type="dxa" w:w="85"/>
            </w:tcMar>
            <w:vAlign w:val="center"/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Cadências semanal / mensal / trimestral</w:t>
            </w:r>
          </w:p>
        </w:tc>
      </w:tr>
    </w:tbl>
    <w:p>
      <w:pPr>
        <w:spacing w:before="4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 11-E.2 v2.0 — Caderno Setorial CS — Execução — Março/2026 — Confidencial — Uso interno da Direção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ptab w:alignment="right" w:relativeTo="margin" w:leader="none"/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4"/>
        <w:szCs w:val="14"/>
      </w:rPr>
      <w:t xml:space="preserve"> |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    DOC 11-E.2 — CS Execução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2026-03-15T19:08:13.159Z</dcterms:created>
  <dcterms:modified xsi:type="dcterms:W3CDTF">2026-03-15T19:08:13.161Z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