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2" w:space="8"/>
        </w:pBdr>
        <w:spacing w:after="200"/>
      </w:pPr>
      <w:r>
        <w:rPr>
          <w:rFonts w:ascii="Calibri Light" w:cs="Calibri Light" w:eastAsia="Calibri Light" w:hAnsi="Calibri Light"/>
          <w:color w:val="94A3B8"/>
          <w:spacing w:val="120"/>
          <w:sz w:val="20"/>
          <w:szCs w:val="20"/>
        </w:rPr>
        <w:t xml:space="preserve">PLANEJAMENTO ESTRATÉGICO 2026</w:t>
      </w:r>
    </w:p>
    <w:p>
      <w:pPr>
        <w:spacing w:after="80"/>
      </w:pPr>
      <w:r>
        <w:rPr>
          <w:rFonts w:ascii="Calibri Light" w:cs="Calibri Light" w:eastAsia="Calibri Light" w:hAnsi="Calibri Light"/>
          <w:color w:val="0C2340"/>
          <w:sz w:val="52"/>
          <w:szCs w:val="52"/>
        </w:rPr>
        <w:t xml:space="preserve">DOC 11-E</w:t>
      </w:r>
    </w:p>
    <w:p>
      <w:pPr>
        <w:spacing w:after="60"/>
      </w:pPr>
      <w:r>
        <w:rPr>
          <w:rFonts w:ascii="Calibri Light" w:cs="Calibri Light" w:eastAsia="Calibri Light" w:hAnsi="Calibri Light"/>
          <w:color w:val="163B5C"/>
          <w:sz w:val="36"/>
          <w:szCs w:val="36"/>
        </w:rPr>
        <w:t xml:space="preserve">Caderno Gerencial</w:t>
      </w:r>
    </w:p>
    <w:p>
      <w:pPr>
        <w:spacing w:after="24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CS / Relacionamento com Contratante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Mandato · Fronteiras · Programas · Placar · Governança</w:t>
      </w:r>
    </w:p>
    <w:p>
      <w:pPr>
        <w:spacing w:before="6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4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Versão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Data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Camada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MBR (Caderno Gerencial)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Bloco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B3 — Completude Estrutural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Lacunas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LC-05 · LR-06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Pilar PE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 — Crescimento com Tese e Monetização</w:t>
            </w:r>
          </w:p>
        </w:tc>
      </w:tr>
    </w:tbl>
    <w:p>
      <w:pPr>
        <w:spacing w:before="800"/>
      </w:pPr>
    </w:p>
    <w:p>
      <w:pPr>
        <w:jc w:val="left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Aero Engenharia + Techdengue · Geotecnologia e Drones</w:t>
      </w:r>
    </w:p>
    <w:p>
      <w:pPr>
        <w:sectPr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🔴 NOTA DE CONSTRUÇÃO (CRÍTICA): Este caderno foi construído do zero como parte do B3 — Completude Estrutural. O PE original continha apenas um caderno gerencial genérico para CS, sem cadernos de Direção ou Execução. A versão 2.0 foi fundamentada nos OKRs corporativos (DOC 06 v2), nas calibrações da Direção e na realidade operacional de 60+ municípios contratantes. CS é a área-chave de execução da tese de monetização (OKR-P2).</w:t>
            </w:r>
          </w:p>
        </w:tc>
      </w:tr>
    </w:tbl>
    <w:p>
      <w:pPr>
        <w:spacing w:before="20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1. Contexto e justificativa estratégica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2. Mandato do CS em 2026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3. Fronteiras e interfaces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4. Premissas e restrições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5. Arquitetura gerencial — Objetivos e Programas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6. Envelope orçamentário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7. Placar do CS — KPIs e guardrails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8. Governança mínima — WBR / MBR / QBR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9. Entregas mínimas do ano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10. Identidade visual por programa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11. Rastreabilidade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12. Glossário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justificativa estratégica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CS/Relacionamento é a função que converte contrato em caixa. A empresa encerrou 2025 com R$10,3M de receita consolidada e base contratual de 60+ municípios, mas a taxa de execução média permanece abaixo do potencial: saldo residual de 88.348 ha no início de 2026 indica que contratantes com ordens de serviço válidas não estão executando na velocidade esperada.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causa não é comercial — o contrato existe. A causa é de ativação: secretarias municipais de saúde precisam de suporte técnico, prova de resultado e gestão ativa para destravar execução. Sem CS estruturado, a empresa acumula saldo, perde previsibilidade de receita e enfraquece a tese de sell-ready.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diagnóstico 2025 confirma quatro gaps que justificam a construção completa deste caderno: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54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 2025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 se não corrigido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 ~42,7% em "Baixa Execução"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88.348 ha não executados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Receita contratada não realizada — erosão de previsibilidade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Ausência de Sala de Situação formal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Gestão ad hoc por planilha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priorização Pareto, sem plano por contratante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 inexistente como pacote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Relatórios pontuais sem formato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Contratante não percebe resultado → não renova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Interface CS-P&amp;D não formalizada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Entregas dependem de demandas isoladas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 produz sem feedback; CS distribui sem padrão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E8C6B" w:sz="18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Vínculo PE2026: CS responde primariamente ao Pilar Institucional P2 — Crescimento com Tese e Monetização da Base Contratual. Contribui estruturalmente para P3 (Escala com Margem e Qualidade), P4 (Produto/Dados/IA — como canal de prova de valor) e P1 (Governança — processos documentados e auditáveis).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Mandato do CS em 2026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O que o CS garante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CS opera em 2026 como braço de execução da monetização e ponto de contato principal com secretarias municipais de saúde. Seis responsabilidades inegociáveis: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4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67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Ativação de demanda</w:t>
            </w:r>
          </w:p>
        </w:tc>
        <w:tc>
          <w:tcPr>
            <w:tcW w:type="dxa" w:w="6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Destravar execução nos contratantes com saldo. Plano por contratante, diagnóstico de bloqueio, suporte técnico à secretaria.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Sala de Situação / War Room</w:t>
            </w:r>
          </w:p>
        </w:tc>
        <w:tc>
          <w:tcPr>
            <w:tcW w:type="dxa" w:w="6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semanal: Top-14 com responsável, plano 7/14/30, previsão 30/60/90, decisões de priorização, evidência.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Retenção e renovação</w:t>
            </w:r>
          </w:p>
        </w:tc>
        <w:tc>
          <w:tcPr>
            <w:tcW w:type="dxa" w:w="6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Gestão do ciclo de vida: health score, NPS, cadência de contato, preparação de renovação com antecedência.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Entrega de prova de valor</w:t>
            </w:r>
          </w:p>
        </w:tc>
        <w:tc>
          <w:tcPr>
            <w:tcW w:type="dxa" w:w="6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Canal de distribuição do pacote de evidências (P&amp;D). Coleta de devolutiva e feedback de adoção.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Interface institucional</w:t>
            </w:r>
          </w:p>
        </w:tc>
        <w:tc>
          <w:tcPr>
            <w:tcW w:type="dxa" w:w="6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 de contato com secretarias de saúde. Absorve parcialmente até Comercial ativa.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Expansão reativa</w:t>
            </w:r>
          </w:p>
        </w:tc>
        <w:tc>
          <w:tcPr>
            <w:tcW w:type="dxa" w:w="6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Identificação de upsell/cross-sell e recurso próprio municipal. Postura reativa — não prospecta.</w:t>
            </w:r>
          </w:p>
        </w:tc>
      </w:tr>
    </w:tbl>
    <w:p>
      <w:pPr>
        <w:spacing w:before="16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2.2 O que o CS não faz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Fora do escopo: prospecção ativa de novos clientes (Comercial); produção de pacotes de evidências (P&amp;D); operação de campo (Operação); definição de preço e negociação formal (Comercial/Direção); gestão de recurso próprio municipal como programa estruturado — CS reage quando município sinaliza (Cal.#3).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Fronteiras e interfaces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efetividade do CS depende de fronteiras claras com cinco áreas. Ambiguidade de papel gera retrabalho e decisões lentas.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 / Entrega esperada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Define prioridades de monetização; patrocina Sala de Situação; destrava decisões de ativação com contratantes estratégicos.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Executa o serviço contratado. CS ativa demanda; Operação entrega. Ponto de passagem: OS destravada → Operação programa e executa.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P&amp;D / Produto / Dados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Produz pacote de evidências e prova de valor (INIT-PD-004/005/008). CS distribui e coleta devolutiva. Interface com cadência.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Comercial (quando ativa)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gere base existente; Comercial cuida de novos contratos. Transição progressiva da interface institucional.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contratual, faturamento por contratante, aging de recebíveis. Base para priorização Pareto e health score.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Casos de sucesso e materiais de apoio. Marketing produz; CS utiliza em campo.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C2340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Regras de fronteira: CS coordena a Sala de Situação; Operação e Dados participam. Ativação de demanda é responsabilidade primária do CS. Recurso próprio municipal é 100% reativo (Cal.#3). Prova de valor é produzida por P&amp;D e distribuída por CS — fronteira no pacote pronto.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Premissas e restrições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Premissas operacionais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4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 é o motor do ano — CS é dono da execução de P2 no campo. Se P2 falha, o restante é discurso.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 base contratual de 60+ municípios é o ativo principal. Ativação e retenção são mais rentáveis que aquisição.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 Sala de Situação está operante desde fev/2026 (KR-P2.3). CS coordena.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 prova de valor (P&amp;D) é o instrumento de retenção mais poderoso. CS é o canal — não o produtor.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 chegada do COO (Cal.#2/12) pode reestruturar subordinação do CS operacional. Caderno prevê transição.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Comercial está em criação. CS absorve temporariamente parte da interface institucional.</w:t>
            </w:r>
          </w:p>
        </w:tc>
      </w:tr>
    </w:tbl>
    <w:p>
      <w:pPr>
        <w:spacing w:before="16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Restrições confirmadas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4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não tem centro de custo dedicado em 2025. Envelope opera dentro do Comercial (R$1.100–1.400K) com separação progressiva.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Equipe estimada em 2-3 pessoas parcialmente dedicadas. Não há cargo formal "CS" no organograma.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Recurso próprio municipal é 100% reativo (Cal.#3) — não pode ser programa de captação.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Ferramentas de CRM e health score ainda não implantadas. Q1 é de instalação.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88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 depende de entrega do P&amp;D (INIT-PD-004/005). CS não controla prazo de produção.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E8C6B" w:sz="18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Implicação prática: CS opera em ciclos de 90 dias com foco no Top-14 Pareto. Q1 é de instalação da Sala de Situação e ativação de saldo. Q2 consolida método e expande para base completa.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Arquitetura gerencial — Objetivos e Programas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Objetivos Estratégicos do Ano (O1–O4)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54"/>
        <w:gridCol w:w="27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56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 Estratégico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 OKR Corp.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O1</w:t>
            </w:r>
          </w:p>
        </w:tc>
        <w:tc>
          <w:tcPr>
            <w:tcW w:type="dxa" w:w="56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Ativar demanda e monetizar a base contratual — reduzir saldo, aumentar execução, instalar Sala de Situação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P2.1, P2.2, P2.3, P2.4, P2.5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O2</w:t>
            </w:r>
          </w:p>
        </w:tc>
        <w:tc>
          <w:tcPr>
            <w:tcW w:type="dxa" w:w="56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Reter contratantes e garantir renovação com método — health score, NPS, ciclo de vida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P3.4, P3.5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O3</w:t>
            </w:r>
          </w:p>
        </w:tc>
        <w:tc>
          <w:tcPr>
            <w:tcW w:type="dxa" w:w="56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Entregar prova de valor e coletar devolutiva — canal de evidência com cadência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P4.1, P4.2, P4.4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8"/>
                <w:szCs w:val="18"/>
              </w:rPr>
              <w:t xml:space="preserve">O4</w:t>
            </w:r>
          </w:p>
        </w:tc>
        <w:tc>
          <w:tcPr>
            <w:tcW w:type="dxa" w:w="56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Preparar expansão e transição institucional — upsell, cross-sell, handoff para Comercial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P2, P3.5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Programas oficiais — estrutura única de execução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 iniciativa do CS 2026 opera dentro de um dos quatro programas. Não há iniciativa fora dessa estrutura.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54"/>
        <w:gridCol w:w="200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 que resolve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CS-P1 · Ativação e Monetização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 alto, execução abaixo do potencial, ausência de plano por contratante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 (apoia O2)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CS-P2 · Retenção e Satisfação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Risco de churn institucional, renovação sem método, satisfação não medida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O2 (apoia O1, O4)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CS-P3 · Prova de Valor e Devolutiva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Contratante não percebe resultado, prova de valor não chega, feedback ausente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O3 (apoia O2)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8"/>
                <w:szCs w:val="18"/>
              </w:rPr>
              <w:t xml:space="preserve">CS-P4 · Expansão e Interface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Oportunidades de upsell não capturadas, transição Comercial não planejada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O4 (apoia O1)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C2340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Regra inviolável: iniciativa sem programa, sem dono e sem evidência mínima não entra no plano de CS 2026.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CS não possui centro de custo dedicado no Estudo de Despesas 2025. As atividades estavam distribuídas entre Comercial (R$905K real 2025) e Operações (R$965K real 2025). O envelope 2026 opera dentro do Comercial (R$1.100–1.400K) com separação contábil progressiva.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354"/>
        <w:gridCol w:w="200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estimada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Folha CS (2-3 pessoas)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R$ 180–250K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Existente (remanejamento)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CS-P1, CS-P2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Ferramentas / CRM básico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R$ 30–50K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Novo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CS-P2, CS-P3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Viagens de relacionamento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R$ 60–100K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Existente (realocar)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CS-P1, CS-P4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Eventos de relacionamento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R$ 20–40K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Novo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CS-P3, CS-P4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Contingência CS (5%)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R$ 15–25K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Reserva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Total estimado CS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R$ 305–465K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Dentro do Comercial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C2340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📋 Decisão registrada: CS opera contabilmente dentro do envelope Comercial em 2026. Separação contábil progressiva à medida que a área ganha identidade própria. Reavaliação formal no QBR Q2.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do CS — KPIs e guardrails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7.1 KPIs mensais — não negociáveis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54"/>
        <w:gridCol w:w="1800"/>
        <w:gridCol w:w="20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 (ha) — total e % da carteira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/ 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Taxa de execução acumulada (% ha executados / contratados)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+ Operação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Contratantes em "Baixa Execução" (% da carteira)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Pareto Top-14 — % com execução mês a mês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30/60/90 — acurácia vs realizado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 por contratante (quando implantado)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 ou satisfação do contratante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Taxa de renovação (renovados / elegíveis)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 entregue (% Top-14 com pacote/mês)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+ P&amp;D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 coletada (% contratantes com feedback)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7.2 Guardrails — quando o alerta acende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4"/>
        <w:gridCol w:w="2000"/>
      </w:tblGrid>
      <w:tr>
        <w:trPr>
          <w:tblHeader/>
        </w:trPr>
        <w:tc>
          <w:tcPr>
            <w:tcW w:type="dxa" w:w="73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7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 crescente por 2+ meses sem plano de ativação documentado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 CRÍTICO</w:t>
            </w:r>
          </w:p>
        </w:tc>
      </w:tr>
      <w:tr>
        <w:tc>
          <w:tcPr>
            <w:tcW w:type="dxa" w:w="7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Contratante Top-14 sem execução por 30+ dias sem análise de causa registrada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 CRÍTICO</w:t>
            </w:r>
          </w:p>
        </w:tc>
      </w:tr>
      <w:tr>
        <w:tc>
          <w:tcPr>
            <w:tcW w:type="dxa" w:w="7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 ou satisfação abaixo de 7,0 por 2 ciclos consecutivos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 ATENÇÃO</w:t>
            </w:r>
          </w:p>
        </w:tc>
      </w:tr>
      <w:tr>
        <w:tc>
          <w:tcPr>
            <w:tcW w:type="dxa" w:w="7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Renovação em risco sem plano de contenção ativo (60 dias antes do vencimento)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 CRÍTICO</w:t>
            </w:r>
          </w:p>
        </w:tc>
      </w:tr>
      <w:tr>
        <w:tc>
          <w:tcPr>
            <w:tcW w:type="dxa" w:w="7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 não entregue ao Top-14 por 2 meses consecutivos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 ATENÇÃO</w:t>
            </w:r>
          </w:p>
        </w:tc>
      </w:tr>
      <w:tr>
        <w:tc>
          <w:tcPr>
            <w:tcW w:type="dxa" w:w="7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30/60/90 com acurácia &lt; 60% por 2 ciclos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 ATENÇÃO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B8860B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Protocolo: qualquer guardrail acionado entra como pauta obrigatória no próximo MBR com plano de resposta documentado, dono e prazo.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Governança mínima — WBR / MBR / QBR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54"/>
        <w:gridCol w:w="23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WBR CS (Sala de Situação)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— obrigatório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e vazão Top-14 · Plano 7/14/30 · Previsão 30/60/90 · Bloqueios · Decisões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Lista de ações com dono e prazo · Log DEC-*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MBR CS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 — obrigatório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 KPIs + guardrails · Evolução programas · Health score · Pipeline renovação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Ata + decisões + backlog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QBR CS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Evolução O1–O4 · NPS/satisfação · Mapa renovação · Interface Comercial · Estrutura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 + decisões estruturais + ajuste WIP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C2340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Regra de ouro: a Sala de Situação (WBR) é o rito mais importante do CS — é onde P2 acontece na prática. Sem WBR, saldo cresce e receita escapa.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Entregas mínimas do ano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CS 2026 não pode encerrar o ano sem: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4"/>
        <w:gridCol w:w="1600"/>
        <w:gridCol w:w="2200"/>
      </w:tblGrid>
      <w:tr>
        <w:trPr>
          <w:tblHeader/>
        </w:trP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 mínima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operante semanalmente com Top-14, plano 7/14/30, previsão 30/60/90, evidência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 reduzido de 88.348 ha para ≤ 37.910 ha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Contratantes em "Baixa Execução" reduzidos de ~42,7% para ≤ 25%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Pareto Top-14 ≥ 70% com execução mês a mês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 implantado para Top-14 com cadência 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 ou pesquisa de satisfação aplicada em pelo menos 1 ciclo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Pacote de prova de valor entregue mensalmente ao Top-14 (≥ 70%)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Mar–Jun/2026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 coletada e registrada para ≥ 50% dos pacotes entregues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Mapa de renovação 2026–2027 com antecedência mínima de 90 dias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transição para Comercial documentado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Identidade visual por programa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54"/>
        <w:gridCol w:w="2000"/>
      </w:tblGrid>
      <w:tr>
        <w:trPr>
          <w:tblHeader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CS-P1 · Ativação de Demanda e Monetização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Azul Royal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#1565C0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CS-P2 · Retenção, Renovação e Satisfação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Verde Floresta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#2E7D32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CS-P3 · Prova de Valor e Devolutiva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Púrpura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#7B1FA2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8"/>
                <w:szCs w:val="18"/>
              </w:rPr>
              <w:t xml:space="preserve">CS-P4 · Expansão e Interface Institucional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Laranja Âmbar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#FF8F00</w:t>
            </w:r>
          </w:p>
        </w:tc>
      </w:tr>
    </w:tbl>
    <w:p>
      <w:pPr>
        <w:spacing w:before="80" w:after="80" w:line="264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Paleta estrutural PE: navy #0C2340 / accent #2980B9 / teal #0E8C6B / gold #B8860B / red #C0392B / body #334155 / muted #94A3B8.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Rastreabilidade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11.1 Decisões executivas incorporadas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54"/>
        <w:gridCol w:w="24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Cal.#2</w:t>
            </w:r>
          </w:p>
        </w:tc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como contratação prioritária — CS pode ficar sob COO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Calibrações fev/2026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Cal.#3</w:t>
            </w:r>
          </w:p>
        </w:tc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Recurso próprio municipal: 100% reativo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Calibrações fev/2026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Cal.#9</w:t>
            </w:r>
          </w:p>
        </w:tc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Safety floor: 20% — margem mínima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Calibrações fev/2026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B3-CS-01</w:t>
            </w:r>
          </w:p>
        </w:tc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Envelope CS dentro do Comercial com separação progressiva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Decisão mar/2026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B3-CS-02</w:t>
            </w:r>
          </w:p>
        </w:tc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Paleta CS: #1565C0, #2E7D32, #7B1FA2, #FF8F00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Decisão mar/2026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B3-CS-03</w:t>
            </w:r>
          </w:p>
        </w:tc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Estrutura de 4 programas CS aprovada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Decisão mar/2026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11.2 Dependências externas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54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em CS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Pacote de evidências (INIT-PD-004/005)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pacote, CS-P3 não opera. Deadline: mar/2026.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Painel de monetização (INIT-PD-006/007)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 / Dados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painel, Sala de Situação opera em planilha.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Contratação COO (Cal.#2)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/ Direção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Pode reestruturar subordinação do CS. Q2/2026.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área Comercial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/ Direção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Define quando CS transfere interface institucional.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Dados saldo/faturamento por contratante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4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 para priorização Pareto e health score.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O1–O4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Objetivos Estratégicos do Ano do CS — prioridades setoriais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 Institucional PE2026 — Crescimento com Tese e Monetização da Base Contratual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Programa Ativação de Demanda e Monetização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Programa Retenção, Renovação e Satisfação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Programa Prova de Valor e Devolutiva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CS-P4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Programa Expansão e Interface Institucional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 semanal — rito de gestão do saldo, vazão e prioridades Pareto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Top-14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Os 14 maiores contratantes por saldo/receita — foco Pareto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composto de saúde do relacionamento com contratante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Hectares contratados mas não executados — receita potencial não realizada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Pacote de evidências de impacto produzido por P&amp;D e entregue por CS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Feedback formal do contratante sobre o pacote de prova de valor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de demanda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Processo de destravar execução em contratantes com saldo parado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Churn institucional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Perda de contratante por insatisfação ou ausência de resultado percebido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Net Promoter Score — índice de recomendação/satisfação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Recurso próprio municipal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Recurso do município (não convênio) — tratamento 100% reativo (Cal.#3)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/ MBR / QBR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Cadências de revisão: semanal / mensal / trimestral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WIP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Work in Progress — número máximo de iniciativas simultâneas ativas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Guardrail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Limite de segurança que exige resposta imediata no MBR quando acionado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Evidência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objetiva de execução: log, checklist, ata, painel, resultado</w:t>
            </w:r>
          </w:p>
        </w:tc>
      </w:tr>
    </w:tbl>
    <w:p>
      <w:pPr>
        <w:spacing w:before="400"/>
      </w:pPr>
    </w:p>
    <w:p>
      <w:pPr>
        <w:jc w:val="left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11-E v2.0 — Caderno Gerencial CS / Relacionamento com Contratante 2026 — Março/2026 — Confidencial — Uso interno da Direção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spacing w:before="0"/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4"/>
        <w:szCs w:val="14"/>
      </w:rPr>
      <w:t xml:space="preserve"> |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spacing w:after="0"/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  DOC 11-E — Caderno Gerencial 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2026-03-15T18:12:16.785Z</dcterms:created>
  <dcterms:modified xsi:type="dcterms:W3CDTF">2026-03-15T18:12:16.786Z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