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2980B9" w:sz="8" w:space="8"/>
        </w:pBdr>
      </w:pPr>
    </w:p>
    <w:p>
      <w:pPr>
        <w:spacing w:after="200"/>
      </w:pPr>
    </w:p>
    <w:p>
      <w:r>
        <w:rPr>
          <w:rFonts w:ascii="Calibri Light" w:cs="Calibri Light" w:eastAsia="Calibri Light" w:hAnsi="Calibri Light"/>
          <w:color w:val="0C2340"/>
          <w:sz w:val="56"/>
          <w:szCs w:val="56"/>
        </w:rPr>
        <w:t xml:space="preserve">PE 2026</w:t>
      </w:r>
    </w:p>
    <w:p>
      <w:pPr>
        <w:spacing w:after="200"/>
      </w:pPr>
      <w:r>
        <w:rPr>
          <w:rFonts w:ascii="Calibri Light" w:cs="Calibri Light" w:eastAsia="Calibri Light" w:hAnsi="Calibri Light"/>
          <w:color w:val="2980B9"/>
          <w:sz w:val="36"/>
          <w:szCs w:val="36"/>
        </w:rPr>
        <w:t xml:space="preserve">DOC 00 — Setup do Planejamento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Estrutura, Regras, Rastreabilidade e Gates de Qualidade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Empresa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Aero Engenharia + Techdengue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(revisão fev/2026)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 anterior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1.0 (15/jan/2026)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Escopo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Framework metodológico do PE2026 — método, governança, rastreabilidade, gates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Nota de revisão v2.0: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Atualização cirúrgica para alinhar o mapa de documentos à arquitetura real do PE2026 (DOC 00–11-H), corrigir referências nos gates de qualidade, e incorporar as calibrações da Direção Executiva de fevereiro/2026. A tese estratégica, os 3 eixos canônicos, a cadeia de rastreabilidade e os anti-padrões permanecem integralmente preservados.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OBJETIVO DESTE DOCUMENTO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DOC 00 define o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sistema de construção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do PE2026: estrutura, regras, linguagem, rastreabilidade, templates e gates de qualidade. Estabelece os três eixos canônicos que regem todo o planejamento: Estrutura Interna, Estratégia Externa e Monetização da base contratual.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Regra-mãe: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 PE2026 precisa equilibrar “capacidade interna” com “jogo externo” e com “monetização da base” — isso é canônico.</w:t>
            </w:r>
          </w:p>
        </w:tc>
      </w:tr>
    </w:tbl>
    <w:p>
      <w:pPr>
        <w:spacing w:after="80"/>
      </w:pP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ESCOPO DO PE2026 — TRÊS EIXOS CANÔNICOS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PE2026 é construído sempre sob 3 eixos simultâneos. Cada documento, OKR e iniciativa deve vincular-se a pelo menos um deles.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Eixo A — Estrutura Interna (capacidade de execução)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Governança, processos, organograma, pessoas e liderança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Eficiência operacional e escala com margem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Produto/Dados/IA como vantagem competitiva (moat)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Controles e disciplina financeira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Cultura e rituais de execução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Eixo B — Estratégia Externa (crescimento e expansão)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Crescimento, expansão geográfica e abertura de mercado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Novos serviços / novos produtos / reposicionamento do portfólio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Estratégia competitiva, reputação e posicionamento institucional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Relações estratégicas (stakeholders, consórcios, SES, municípios, parceiros)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Eixo C — Monetização (Contrato → Demanda → Execução → Caixa)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Ativação de demanda em contratos sob prerrogativa do órgão público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Aumento de taxa de execução, redução de saldo e previsibilidade (forecast)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Governança de CS/Relacionamento e indução de demanda com evidência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Gestão de risco regulatório (ex.: janela de resolução) e saldo não executado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War room e rituais de ação sobre o Pareto do saldo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E8C6B" w:sz="12"/>
              <w:bottom w:val="none" w:sz="0"/>
              <w:right w:val="none" w:sz="0"/>
            </w:tcBorders>
            <w:shd w:fill="EB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 Eixo C é o núcleo de execução de receita em 2026 para Techdengue.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monetização da base contratual existente é o motor financeiro do ano.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CANÔNICA DE DOCUMENTOS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arquitetura documental do PE2026 opera em cascata: documentos de topo definem o enquadramento estratégico, documentos de meio traduzem em metas e portfólio, e cadernos setoriais desdobram até a execução por área.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Mapa de Documentos (DOC 00–11-H)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v2.0 — Corrigido: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 mapa abaixo reflete a arquitetura real do PE2026, alinhado aos documentos efetivamente produzidos. A versão anterior (v1.0) listava nomes e escopos divergentes.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00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Setup do Planejamento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Framework metodológico, governança, rastreabilidade e gates (este documento)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01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Diagnóstico 2025 e Base de Dados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Banco de fatos: financeiro, operacional, regulatório + baseline de monetização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02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Estratégia Master 2026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Tese estratégica: spin-off, sell-ready, diversificação, posicionamento + direção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03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Arquitetura de Execução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Modelo de governança, rituais, alçadas, cadeia de comando para o ano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04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Pilares Institucionais e Subpilares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Estrutura travada P1–P5 com subpilares e temas estratégicos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05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Placar Institucional 2026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KPIs macro: NPS, receita, margem, taxa de execução, guardrails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06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OKRs Corporativos 2026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Objetivos e Key Results por pilar, incluindo KRs de monetização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07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Metas 2026 e Cenários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Cenários (Base/Otimista/Defensivo) + gates trimestrais + gatilhos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08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Carteira Estratégica 2026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Portfólio de iniciativas, priorização e capacidade (WIP limits)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09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Capacidade, Orçamento e Alocação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Envelope orçamentário por área, alocação de recursos, prontidão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10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de Riscos 2026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Riscos estratégicos, impacto, probabilidade, mitigação e donos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11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Cadernos Setoriais (por área)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Desdobramento em 3 níveis: Gerencial + Direção + Execução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2.2 Cadernos Setoriais (DOC 11-*)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área funcional possui até 3 documentos: um Caderno Gerencial (visão da área), um Caderno Setorial — Direção (metas de nível estratégico) e um Caderno Setorial — Execução (metas operacionais). O Placar Integrado (11-H) consolida KPIs de todas as áreas.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Cadernos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11-A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/ Pessoas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Gerencial + Direção + Execução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11-B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Gerencial + Direção + Execução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11-C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Gerencial + Direção + Execução (modelo: Direção + consultorias)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11-D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Gerencial + Direção + Execução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11-E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/ Relacionamento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Gerencial + Direção + Execução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11-F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Gerencial + Direção + Execução (área em construção)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11-G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Gerencial + Direção + Execução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11-H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Placar Integrado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Consolidação de KPIs e OKRs de todos os cadernos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ARQUITETURA DE RASTREABILIDADE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3.1 Cadeia obrigatória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Todo elemento do PE2026 deve vincular-se ao nível superior por meio da cadeia: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Pilar → Subpilar → Objetivo → KR → Iniciativa → Evidências → Cadência → Resultado</w:t>
            </w:r>
          </w:p>
        </w:tc>
      </w:tr>
    </w:tbl>
    <w:p>
      <w:pPr>
        <w:spacing w:after="6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rastreabilidade garante que qualquer resultado mensurável possa ser conectado ao pilar estratégico que o originou. Documentos sem vínculos explícitos são considerados incompletos.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3.2 Extensão para o Eixo C (Monetização)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Além da cadeia padrão, tudo que estiver vinculado ao Eixo C deve ter um rastro adicional de monetização: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E8C6B" w:sz="12"/>
              <w:bottom w:val="none" w:sz="0"/>
              <w:right w:val="none" w:sz="0"/>
            </w:tcBorders>
            <w:shd w:fill="EB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Contrato/Base → Status de Execução → Ação de Ativação → Evidência de Demanda → Execução → Caixa</w:t>
            </w:r>
          </w:p>
        </w:tc>
      </w:tr>
    </w:tbl>
    <w:p>
      <w:pPr>
        <w:spacing w:after="6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Essa extensão evita que CS/Relacionamento se torne “apenas relacionamento” sem capacidade de monetizar. Cada ação de CS deve ter evidência de impacto na execução ou ativação de demanda.</w:t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CONVENÇÕES DE NOMENCLATURA (IDS)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IDs canônicos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P1…P5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 — Pessoas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P1.S1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Subpilar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P1.S1 — Liderança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TH-XX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Tema estratégico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TH-01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OBJ-*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Objetivo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OBJ-P1-01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KR-*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Key Result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KR-P1-01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KPI-*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Indicador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KPI-OPS-01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INIT-*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Iniciativa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INIT-P3-01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GATE-*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Gate de qualidade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GATE-Q1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RSK-*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Risco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RSK-01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BEN-*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Benefício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BEN-01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DEC-*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Decisão</w:t>
            </w:r>
          </w:p>
        </w:tc>
        <w:tc>
          <w:tcPr>
            <w:tcW w:type="dxa" w:w="4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DEC-01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IDs específicos do Eixo C (Monetização)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BASE-CT-YYYY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 contratual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BASE-CT-2026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ACT-CT-XX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Campanha de ativação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ACT-CT-01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PAR-CT-XX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Pareto de saldo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PAR-CT-01 (Top 14 contratantes)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KPI-C-*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KPI de monetização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KPI-C-01 (taxa de execução)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ARTEFATOS OBRIGATÓRIOS DO PE2026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garantir equilíbrio entre os 3 eixos, os seguintes artefatos são obrigatórios no PE2026: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Artefatos internos (Eixo 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Banco de fatos (financeiro, pessoas, operação) — DOC 01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Placar institucional (KPIs e guardrails) — DOC 05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Portfólio com capacidade e WIP limitado — DOC 08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Artefatos externos (Eixo B)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Mapa de expansão (geografia + tese de “onde jogar”) — DOC 02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Portfólio de ofertas (core + add-ons + novos serviços) — DOC 08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Mapa de stakeholders e estratégia institucional — DOC 02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5.3 Artefatos de monetização (Eixo C)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BASE-CT-2026: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base contratual com saldo, execução, status e tipo — DOC 01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PAR-CT-01: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Pareto do saldo (Top 14 / Top 32) — DOC 01/07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KPI-C-*: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KPIs de execução e ativação com definição e cadência — DOC 05/11-H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ACT-CT-01: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plano de ativação priorizado com donos, ritos e evidências — DOC 11-E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GATE-Q1-CT: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gate crítico de Q1 para execução com respostas se-então — DOC 07</w:t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TABELAS CANÔNICAS DE GESTÃO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As tabelas abaixo são peças de gestão recorrentes em 2026 — não anexos estáticos. Devem ser atualizadas nas cadências de WBR/MBR.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6.1 Base Contratual e Execução (HA)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700"/>
        <w:gridCol w:w="700"/>
        <w:gridCol w:w="700"/>
        <w:gridCol w:w="700"/>
        <w:gridCol w:w="900"/>
        <w:gridCol w:w="800"/>
        <w:gridCol w:w="1360"/>
        <w:gridCol w:w="1600"/>
      </w:tblGrid>
      <w:tr>
        <w:trPr>
          <w:tblHeader/>
        </w:trPr>
        <w:tc>
          <w:tcPr>
            <w:tcW w:type="dxa" w:w="11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Contratante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 Base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 Exec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Exec %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Saldo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Dono CS</w:t>
            </w:r>
          </w:p>
        </w:tc>
        <w:tc>
          <w:tcPr>
            <w:tcW w:type="dxa" w:w="13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Próxima ação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alvo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(modelo)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(Mun/Consórcio)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(Pareto)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6.2 Ativação de Demanda (pipeline de execução)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600"/>
        <w:gridCol w:w="1300"/>
        <w:gridCol w:w="1200"/>
        <w:gridCol w:w="800"/>
        <w:gridCol w:w="1000"/>
        <w:gridCol w:w="1460"/>
      </w:tblGrid>
      <w:tr>
        <w:trPr>
          <w:tblHeader/>
        </w:trPr>
        <w:tc>
          <w:tcPr>
            <w:tcW w:type="dxa" w:w="9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ACT-ID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Contratante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3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proposta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Alavanca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14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(modelo)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(por que não demanda?)</w:t>
            </w:r>
          </w:p>
        </w:tc>
        <w:tc>
          <w:tcPr>
            <w:tcW w:type="dxa" w:w="13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(dados/agenda/inst.)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GATES DE QUALIDADE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documento do PE2026 possui um gate de qualidade que deve ser satisfeito antes de considerá-lo completo. Os gates abaixo incluem requisitos dos três eixos.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v2.0 — Corrigido: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Os gates agora referenciam os documentos pelos nomes corretos da arquitetura real do PE2026.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Gate DOC 01 — Diagnóstico 2025 e Base de Dados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aprovação, o DOC 01 deve conter 3 blocos completos: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Baseline Interno: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financeiro, despesas, margens, pessoas, capacidade operacional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Baseline Externo: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riscos regulatórios, mercado, expansão e competição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Baseline de Monetização: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base contratual, saldo, Pareto, run-rate e risco de janela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Gate DOC 05 — Placar Institucional 2026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placar institucional deve incluir obrigatoriamente: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Taxa de execução da base contratual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Saldo a executar (HA e R$)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Run-rate de execução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Taxa de ativação (contratos com demanda no período)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Forecast 30/60/90 dias de demanda (CS)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Gate DOC 07 — Metas 2026 e Cenários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Deve incluir obrigatoriamente: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Gate crítico de Q1 para execução do saldo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Respostas se-então caso a execução não acelere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Plano de mitigação para janela regulatória (quando aplicável)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Gate DOC 10 — Plano de Riscos 2026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Passa a ser obrigatório: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War Room de Execução (Q1):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cadência semanal definida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RACI: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CS/Relacionamento + Comercial + Operação + Dados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Rotina Pareto: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revisão do Top 14 e pipeline de ativação</w:t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GOVERNANÇA DE CONSTRUÇÃO E EXECUÇÃO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8.1 Cadência durante a construção (jan–fev/2026)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Revisão por documento (DOC review):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semanal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Decision Log: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atualizado a cada decisão de escopo/meta/prioridade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Quality Gate: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checklist fechado ao fim de cada DOC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8.2 Cadência do PE em execução (a partir de março/2026)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WBR (Weekly Business Review):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semanal — curto e operacional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MBR (Monthly Business Review):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mensal — placar + riscos + portfólio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QBR (Quarterly Business Review):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trimestral — OKRs + cenários + portfólio</w:t>
      </w:r>
    </w:p>
    <w:p>
      <w:pPr>
        <w:spacing w:after="4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8.3 War Room Q1 (obrigatório)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Cadência: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semanal (ou 2x/semana se necessário)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Foco: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Pareto do saldo + pipeline de ativação + capacidade operacional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Saída: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decisões registradas + ações com evidência + previsão de execução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CALIBRAÇÕES DA DIREÇÃO — FEVEREIRO/2026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Seção nova (v2.0):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Incorpora as calibrações confirmadas pela Direção Executiva em fevereiro/2026. Estas alterações afetam premissas do PE original e devem ser refletidas nos documentos revisados.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Calibração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Implicação para o PE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Resolução SES/MG 9.035/2023 expirou em 31/12/2025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Monitoramento até 31/03/2026. Corrigir em DOCs 01, 02, 10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Prioridade: COO + Comercial &gt; P&amp;D Supervisor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Liderança operacional é pré-condição do ano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Recurso próprio municipal: 100% reativo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Não existe programa ativo — corrigir posicionamento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 sem equipe formal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 como Direção + consultorias sob demanda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Dados financeiros 2026 limitados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orçamento granular; base é o realizado 2025</w:t>
            </w:r>
          </w:p>
        </w:tc>
      </w:tr>
    </w:tbl>
    <w:p>
      <w:pPr>
        <w:pBdr>
          <w:bottom w:val="single" w:color="2980B9" w:sz="6" w:space="4"/>
        </w:pBdr>
        <w:spacing w:before="360" w:after="20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ANTI-PADRÕES — PROIBIDOS EM 2026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Os seguintes padrões são expressamente vedados no PE2026: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rPr>
          <w:tblHeader/>
        </w:trPr>
        <w:tc>
          <w:tcPr>
            <w:tcW w:type="dxa" w:w="3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Anti-padrão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Eixo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Consequência</w:t>
            </w:r>
          </w:p>
        </w:tc>
      </w:tr>
      <w:tr>
        <w:tc>
          <w:tcPr>
            <w:tcW w:type="dxa" w:w="3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que não trate o externo (mercado/expansão)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 desequilibrado e incompleto</w:t>
            </w:r>
          </w:p>
        </w:tc>
      </w:tr>
      <w:tr>
        <w:tc>
          <w:tcPr>
            <w:tcW w:type="dxa" w:w="3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 sem mecanismo para monetizar base contratual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Receita 2026 em risco</w:t>
            </w:r>
          </w:p>
        </w:tc>
      </w:tr>
      <w:tr>
        <w:tc>
          <w:tcPr>
            <w:tcW w:type="dxa" w:w="3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Relacionamento sem KPI, sem pipeline e sem evidência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vira custo fixo sem retorno</w:t>
            </w:r>
          </w:p>
        </w:tc>
      </w:tr>
      <w:tr>
        <w:tc>
          <w:tcPr>
            <w:tcW w:type="dxa" w:w="3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Portfólio com excesso de iniciativas sem capacidade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Dispersão e não-entrega</w:t>
            </w:r>
          </w:p>
        </w:tc>
      </w:tr>
      <w:tr>
        <w:tc>
          <w:tcPr>
            <w:tcW w:type="dxa" w:w="3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 sem baseline, meta ou fonte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A/B/C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Não mensurável = não gerenciável</w:t>
            </w:r>
          </w:p>
        </w:tc>
      </w:tr>
      <w:tr>
        <w:tc>
          <w:tcPr>
            <w:tcW w:type="dxa" w:w="3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Decisão estratégica sem log (DEC-*)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Perda de rastreabilidade</w:t>
            </w:r>
          </w:p>
        </w:tc>
      </w:tr>
      <w:tr>
        <w:tc>
          <w:tcPr>
            <w:tcW w:type="dxa" w:w="3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Área inexistente referenciada como existente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Compromissos sem responsável</w:t>
            </w:r>
          </w:p>
        </w:tc>
      </w:tr>
    </w:tbl>
    <w:p>
      <w:pPr>
        <w:spacing w:after="120"/>
      </w:pPr>
    </w:p>
    <w:p>
      <w:pPr>
        <w:pBdr>
          <w:top w:val="single" w:color="2980B9" w:sz="6" w:space="8"/>
        </w:pBdr>
        <w:spacing w:before="200" w:after="12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Conclusão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PE2026 opera com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três eixos canônicos simultâneos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(Estrutura Interna, Estratégia Externa, Monetização), com artefatos obrigatórios para o eixo de monetização (BASE-CT, Pareto, pipeline de ativação e Gate Q1). O DOC 00 fixa o padrão único de documentação e governança, reduz risco de dispersão e cria as condições para que o PE seja executável, auditável e desdobrável até as áreas.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Esta versão 2.0 incorpora a arquitetura documental real (DOC 00–11-H), as calibrações de fevereiro/2026 e a correção dos gates de qualidade. A tese estratégica permanece integralmente preservada.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2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DOC 00 — Setup do Planejamento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2026-02-26T22:00:01.594Z</dcterms:created>
  <dcterms:modified xsi:type="dcterms:W3CDTF">2026-02-26T22:00:01.594Z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