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pBdr>
          <w:bottom w:val="single" w:color="2980B9" w:sz="4" w:space="8"/>
        </w:pBdr>
      </w:pPr>
      <w:r>
        <w:rPr>
          <w:sz w:val="2"/>
          <w:szCs w:val="2"/>
        </w:rPr>
        <w:t xml:space="preserve"> </w:t>
      </w:r>
    </w:p>
    <w:p>
      <w:pPr>
        <w:spacing w:before="200" w:after="0"/>
      </w:pPr>
    </w:p>
    <w:p>
      <w:r>
        <w:rPr>
          <w:rFonts w:ascii="Calibri Light" w:cs="Calibri Light" w:eastAsia="Calibri Light" w:hAnsi="Calibri Light"/>
          <w:color w:val="94A3B8"/>
          <w:sz w:val="22"/>
          <w:szCs w:val="22"/>
        </w:rPr>
        <w:t xml:space="preserve">PE 2026</w:t>
      </w:r>
    </w:p>
    <w:p>
      <w:pPr>
        <w:spacing w:before="80" w:after="40"/>
      </w:pPr>
      <w:r>
        <w:rPr>
          <w:rFonts w:ascii="Calibri Light" w:cs="Calibri Light" w:eastAsia="Calibri Light" w:hAnsi="Calibri Light"/>
          <w:color w:val="2980B9"/>
          <w:sz w:val="48"/>
          <w:szCs w:val="48"/>
        </w:rPr>
        <w:t xml:space="preserve">DOC 01</w:t>
      </w:r>
      <w:r>
        <w:rPr>
          <w:rFonts w:ascii="Calibri Light" w:cs="Calibri Light" w:eastAsia="Calibri Light" w:hAnsi="Calibri Light"/>
          <w:color w:val="94A3B8"/>
          <w:sz w:val="48"/>
          <w:szCs w:val="48"/>
        </w:rPr>
        <w:t xml:space="preserve"> — v2</w:t>
      </w:r>
    </w:p>
    <w:p>
      <w:pPr>
        <w:spacing w:before="0" w:after="200"/>
      </w:pPr>
      <w:r>
        <w:rPr>
          <w:rFonts w:ascii="Calibri Light" w:cs="Calibri Light" w:eastAsia="Calibri Light" w:hAnsi="Calibri Light"/>
          <w:color w:val="0C2340"/>
          <w:sz w:val="36"/>
          <w:szCs w:val="36"/>
        </w:rPr>
        <w:t xml:space="preserve">Diagnóstico 2025 e Base de Dados</w:t>
      </w:r>
    </w:p>
    <w:p>
      <w:r>
        <w:rPr>
          <w:rFonts w:ascii="Calibri" w:cs="Calibri" w:eastAsia="Calibri" w:hAnsi="Calibri"/>
          <w:color w:val="64748B"/>
          <w:sz w:val="22"/>
          <w:szCs w:val="22"/>
        </w:rPr>
        <w:t xml:space="preserve">Aero Engenharia + Techdengue</w:t>
      </w:r>
    </w:p>
    <w:p>
      <w:r>
        <w:rPr>
          <w:rFonts w:ascii="Calibri" w:cs="Calibri" w:eastAsia="Calibri" w:hAnsi="Calibri"/>
          <w:color w:val="64748B"/>
          <w:sz w:val="22"/>
          <w:szCs w:val="22"/>
        </w:rPr>
        <w:t xml:space="preserve">Planejamento Estratégico 2026</w:t>
      </w:r>
    </w:p>
    <w:p>
      <w:pPr>
        <w:spacing w:before="60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Campo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Versão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2.0 (revisado)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Data de revisão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25 de fevereiro de 2026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Bloco de origem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Bloco 1 — Recalibração Estratégica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Lacunas endereçadas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LC-07 (regulatória), LR-04 (recurso municipal), LR-05 (modelo P&amp;D)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Classificação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Confidencial — Uso interno da Direção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Cláudio Ribeiro (Direção Executiva)</w:t>
            </w:r>
          </w:p>
        </w:tc>
      </w:tr>
    </w:tbl>
    <w:p>
      <w:pPr>
        <w:spacing w:before="400" w:after="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4A3B8"/>
          <w:sz w:val="18"/>
          <w:szCs w:val="18"/>
        </w:rPr>
        <w:t xml:space="preserve">Confidencial — Uso interno da Direção</w:t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Para que existe este documento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documento existe para responder, com clareza e rastreabilidade, a três perguntas: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(1) O que é verdade hoje (2025 fechado / início de 2026)? (2) Quais são os gargalos reais e os riscos estruturais (internos e externos)? (3) Quais tensões precisam se transformar em decisões estratégicas (2026)?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DOC 01 não é "plano" ainda. Ele é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base objetiva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A partir daqui, os documentos seguintes passam a formular tese, escolhas e metas, sempre ancorados em evidências.</w:t>
      </w: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2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Fontes consolidadas (insumos analisados)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2.1 Financeiro e Operação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Base de receitas 2025 (consolidado Aero + Techdengue); base de despesas 2025 (real vs meta por centro de custo); indicadores operacionais Techdengue 2025 (ha, contratos, recebidos, a receber, atraso, PMR); base contratual Techdengue 2026 (contratos normalizados: execução, saldo, status, tipo e Pareto).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2.2 Pessoas e Cultura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Pesquisa de Engajamento 2025 (comparativo 2024); diretrizes de RH 2026 (objetivos e frentes); plano de ação 2026 (backlog de Gente &amp; Cultura).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2.3 Contexto regulatório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C2340" w:sz="12"/>
              <w:bottom w:val="none" w:color="FFFFFF" w:sz="0"/>
              <w:right w:val="none" w:color="FFFFFF" w:sz="0"/>
            </w:tcBorders>
            <w:shd w:fill="EB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6"/>
                <w:szCs w:val="16"/>
              </w:rPr>
              <w:t xml:space="preserve">CALIBRAÇÃO</w:t>
            </w:r>
          </w:p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 Resolução SES/MG nº 9.035/2023 expirou em 31/12/2025. A Resolução SES/MG nº 10.402/2025 alterou a 9.035/2023, mas seus efeitos práticos no regime de financiamento, execução e monitoramento precisam ser consolidados. Entre 01/01/2026 e 31/03/2026 vige apenas período de monitoramento — sem execução plena. O PE 2026 deve tratar esse fato como variável confirmada, não como risco de incerteza futura.</w:t>
            </w:r>
          </w:p>
        </w:tc>
      </w:tr>
    </w:tbl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3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Síntese executiva — o que 2025 comprovou e o que 2025 expôs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3.1 O que 2025 comprovou (força real do negócio)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2025 fechou com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resultado operacional forte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margem elevada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(34,3%). O Techdengue sustentou o crescimento e operou como principal motor econômico do ano. A organização manteve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engajamento alto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mesmo com aumento do time — sinal de base cultural saudável (com alertas relevantes para escala).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3.2 O que 2025 expôs (risco direto para 2026)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Concentração: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receita altamente concentrada no Techdengue (91,3%) — risco estrutural.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Aero fora Techdengue: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desempenho muito abaixo da meta (48,3% de atingimento) — exige escolha estratégica, não "ajuste pontual".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Sinais de fragilidade de escala: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comunicação interna, onboarding, reconhecimento e colaboração interequipes aparecem como pontos vulneráveis na pesquisa.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Gargalo central de receita 2026: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não é "vender mais" — é transformar base contratual em demanda executada, preservando relacionamento institucional.</w:t>
      </w: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4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Banco de Fatos 2025 — Financeiro (consolidado)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4.1 Receita consolidada e composição</w:t>
      </w:r>
    </w:p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28"/>
                <w:szCs w:val="28"/>
              </w:rPr>
              <w:t xml:space="preserve">R$ 10,3M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Receita Consolidada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8C6B"/>
                <w:sz w:val="28"/>
                <w:szCs w:val="28"/>
              </w:rPr>
              <w:t xml:space="preserve">91,3%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Techdengue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8"/>
                <w:szCs w:val="28"/>
              </w:rPr>
              <w:t xml:space="preserve">8,7%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Aero Engenharia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8C6B"/>
                <w:sz w:val="28"/>
                <w:szCs w:val="28"/>
              </w:rPr>
              <w:t xml:space="preserve">34,3%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Margem Operacional</w:t>
            </w:r>
          </w:p>
        </w:tc>
      </w:tr>
    </w:tbl>
    <w:p>
      <w:pPr>
        <w:spacing w:before="8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rPr>
          <w:tblHeader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Indicador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Receita bruta consolidada 2025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R$ 10.323.677,92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Receita Techdengue 2025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R$ 9.430.536,76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Receita Aero Engenharia 2025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R$ 893.141,16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Participação Techdengue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91,3%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Participação Aero Engenharia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8,7%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Leitura executiva: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Techdengue é o ativo de escala e sustentação financeira. Ao mesmo tempo, a concentração vira tema-mãe do PE 2026: governança, diversificação e preparação para transação exigem reduzir dependências, aumentar previsibilidade e elevar densidade intelectual do negócio.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4.2 Receita vs meta (2025)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1400"/>
        <w:gridCol w:w="2238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Unidade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Meta 2025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Realizado 2025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Atingimento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Gap / Excedente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Techdengue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R$ 9.022.100,00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R$ 9.430.536,76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104,5%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+R$ 408.436,76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Aero Engenharia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R$ 1.847.900,00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R$ 893.141,16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48,3%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-R$ 954.758,84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Consolidado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R$ 10.870.000,00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R$ 10.323.677,92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95,0%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-R$ 546.322,08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Leitura executiva: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o consolidado ficou próximo da meta porque o Techdengue compensou. A subperformance da Aero fora Techdengue não pode ser tratada como "oscilação": é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decisão de tese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(reposicionar, selecionar, diversificar com método ou redefinir papel).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4.3 Resultado operacional e eficiência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rPr>
          <w:tblHeader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Indicador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Despesas operacionais 2025 (real)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R$ 6.779.163,97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Despesas operacionais 2025 (orçado)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R$ 8.024.412,00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Economia vs orçamento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R$ 1.245.248,03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Resultado operacional (receita – despesa)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R$ 3.544.513,95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Margem operacional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34,3%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Leitura executiva: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eficiência financeira foi alta. Mas há um alerta importante: parte dessa "eficiência" veio de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subexecução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em áreas que sustentam escala e vantagem competitiva (P&amp;D, RH, Marketing). Em 2026, economizar não pode ser reflexo automático — precisa ser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escolha orientada por estratégia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4.4 Despesas por centro de custo (real vs meta)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600"/>
        <w:gridCol w:w="2238"/>
      </w:tblGrid>
      <w:tr>
        <w:trPr>
          <w:tblHeader/>
        </w:trP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Centro de custo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Realizado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Var. vs meta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Investimentos/Infraestrutura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R$ 1.105.583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+29,5%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Tributação e Obrigações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R$ 1.086.972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+3,9%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Operações e Entrega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R$ 965.229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-24,2%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Comercial e Novos Mercados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R$ 905.335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-16,6%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Despesas Estratégicas/Societárias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R$ 639.271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-18,7%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Marketing e Comunicação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R$ 580.677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-24,6%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P&amp;D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R$ 511.848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-38,3%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RH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R$ 438.746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-33,2%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Administração/Governança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R$ 315.606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-39,6%</w:t>
            </w:r>
          </w:p>
        </w:tc>
      </w:tr>
      <w:tr>
        <w:tc>
          <w:tcPr>
            <w:tcW w:type="dxa" w:w="4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Controladoria/Financeiro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R$ 229.897</w:t>
            </w:r>
          </w:p>
        </w:tc>
        <w:tc>
          <w:tcPr>
            <w:tcW w:type="dxa" w:w="22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+14,3%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Implicação: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se 2026 é o ano de (i) spin-off, (ii) preparação para venda em ~5 anos, (iii) densidade intelectual e (iv) reorganização com peças-chave, então P&amp;D, RH e Produto/Dados/IA deixam de ser "centro de custo" e passam a ser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motores de valor e previsibilidade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</w:t>
      </w: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5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Banco de Fatos 2025 — Techdengue (operação e caixa)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rPr>
          <w:tblHeader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Indicador Techdengue 2025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Área executada (ha)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117.366,59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Contratos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Municípios atendidos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46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Consórcios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Preço médio ponderado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~R$ 80,35/ha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PMR (prazo médio de recebimento)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24,7 dias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Recebido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R$ 7.555.131,80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 receber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R$ 1.795.225,96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Em atraso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R$ 48.433,00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Inadimplência (atraso/receita)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~0,47%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Leitura executiva: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capacidade real de escala, boa conversão em caixa e risco baixo de inadimplência. Isso sustenta a tese de estruturar o Techdengue como unidade mais autônoma — e, no horizonte,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preparada para transação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(com governança, previsibilidade e documentação).</w:t>
      </w: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6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Base Contratual 2026 e Monetização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Este bloco formaliza o principal desafio estrutural herdado de 2025: contratos públicos são, por natureza, executados por demanda do órgão. O contrato por si só não assegura receita. Logo, a empresa precisa operar um sistema contínuo e institucional de ativação de demanda, com governança, previsibilidade e preservação de relacionamento.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6.1 Base contratual consolidada (hectares)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28"/>
                <w:szCs w:val="28"/>
              </w:rPr>
              <w:t xml:space="preserve">66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Contratos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28"/>
                <w:szCs w:val="28"/>
              </w:rPr>
              <w:t xml:space="preserve">259.393 ha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Hectares executáveis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8C6B"/>
                <w:sz w:val="28"/>
                <w:szCs w:val="28"/>
              </w:rPr>
              <w:t xml:space="preserve">65,9%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Execução acumulada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8"/>
                <w:szCs w:val="28"/>
              </w:rPr>
              <w:t xml:space="preserve">88.349 ha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Saldo a executar</w:t>
            </w:r>
          </w:p>
        </w:tc>
      </w:tr>
    </w:tbl>
    <w:p>
      <w:pPr>
        <w:spacing w:before="6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rPr>
          <w:tblHeader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Indicador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Total de contratos/contratantes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66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Hectares executáveis (total)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259.392,95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Hectares executados (até 31/12)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171.044,10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Execução acumulada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65,94%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Saldo a executar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88.348,85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Saldo (% do total)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34,06%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Leitura executiva: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existe um saldo grande o suficiente para ser determinante para 2026. A pergunta central não é "vender". É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acelerar execução com método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sem desgaste institucional.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6.2 Distribuição do saldo por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700"/>
        <w:gridCol w:w="2338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Nº contratos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Saldo (ha)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Participação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Em Execução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44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49.494,38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56,0%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Baixa Execução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16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37.688,02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42,7%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Concluído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1.166,45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1,3%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Leitura executiva: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quase metade do saldo está em "Baixa Execução". Isso define uma frente estratégica obrigatória: Relacionamento/CS e Comercial precisam atuar como motor de ativação, com método e disciplina de Pareto.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6.3 Comparativo por tipo (municípios vs consórcios)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700"/>
        <w:gridCol w:w="2338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Tipo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Nº contratos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Saldo (ha)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Execução média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Municípios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45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53.296,12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~0,596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Consórcios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35.052,73</w:t>
            </w:r>
          </w:p>
        </w:tc>
        <w:tc>
          <w:tcPr>
            <w:tcW w:type="dxa" w:w="23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~0,716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Implicação: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municípios tendem a ter execução mais difícil. Isso orienta abordagem, pacote de ativação, frequência de governança e prioridade de energia.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6.4 Pareto do saldo (priorização executiva)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14 contratantes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concentram ~50,6% do saldo. Dentro desse grupo, ~63,9% do saldo está em "Baixa Execução". 2026 exige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gestão por Pareto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. Sem isso, a energia se espalha e a empresa perde velocidade justamente onde o caixa está mais concentrado.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Principais saldos (ha): Contagem (5.703,99), Betim (4.403,28), Uberaba (4.198,83), CISARP (3.501,31), CINSC (3.492,25), Esmeraldas (3.237,44), ICISMEP BHTE (3.054,53), AMVAP Uberlândia (2.954,92), CISMAS (2.664,61), ICISMEP Divinópolis (2.660,07).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6.5 Cenários de consumo do saldo (taxa de execução)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Referência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Saldo atual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88.348,85 ha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Taxa histórica (2025)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~9.780 ha/mês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Taxa necessária para consumir em 3 meses</w:t>
            </w:r>
          </w:p>
        </w:tc>
        <w:tc>
          <w:tcPr>
            <w:tcW w:type="dxa" w:w="4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~29.449 ha/mês (3× ritmo histórico)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Leitura executiva: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consumir todo o saldo na janela disponível exige aceleração estrutural. O PE precisa assumir que: (1) não basta operação — é ativação + previsibilidade; (2) o 1º trimestre é o período mais crítico e exige sala de guerra com cadência intensiva; (3) precisa existir plano de resposta para cenários em que o cliente não demanda no ritmo necessário.</w:t>
      </w: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7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Banco de Fatos 2025 — Aero Engenharia (fora Techdengue)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838"/>
      </w:tblGrid>
      <w:tr>
        <w:trPr>
          <w:tblHeader/>
        </w:trP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Indicador Aero 2025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Receita 2025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R$ 893.141,16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Clientes ativos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PMR (prazo médio de recebimento)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40,7 dias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Recebido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R$ 803.394,86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 receber</w:t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R$ 89.746,30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Leitura executiva: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o desempenho indica fragilidade comercial e/ou tese ainda incompleta para "Aero fora Techdengue". Em 2026, isso precisa virar decisão clara: qual é o papel da Aero dentro do grupo? Diversificação com tese, serviços premium seletivos, nova frente de mercado, ou outra arquitetura deliberada.</w:t>
      </w: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8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Banco de Fatos 2025 — Pessoas e Engajamento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8C6B"/>
                <w:sz w:val="28"/>
                <w:szCs w:val="28"/>
              </w:rPr>
              <w:t xml:space="preserve">81,3%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Favorabilidade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28"/>
                <w:szCs w:val="28"/>
              </w:rPr>
              <w:t xml:space="preserve">94%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Adesão (27/29)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8C6B"/>
                <w:sz w:val="28"/>
                <w:szCs w:val="28"/>
              </w:rPr>
              <w:t xml:space="preserve">100%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Esforço extra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8C6B"/>
                <w:sz w:val="28"/>
                <w:szCs w:val="28"/>
              </w:rPr>
              <w:t xml:space="preserve">96%</w:t>
            </w:r>
          </w:p>
          <w:p>
            <w:pPr>
              <w:spacing w:before="0"/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Recomendação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8.1 Gaps críticos para escala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638"/>
      </w:tblGrid>
      <w:tr>
        <w:trPr>
          <w:tblHeader/>
        </w:trP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Dimensão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Score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Informação sobre mudanças/decisões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52%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Colaboração entre equipes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59%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Onboarding e integração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63%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Reconhecimento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67–70%</w:t>
            </w:r>
          </w:p>
        </w:tc>
      </w:tr>
      <w:tr>
        <w:tc>
          <w:tcPr>
            <w:tcW w:type="dxa" w:w="6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Equilíbrio trabalho/vida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67%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Implicação: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2026 exige um sistema real de comunicação, rituais de liderança, onboarding e reconhecimento. A cultura pode ser boa e ainda assim a execução quebrar quando a empresa cresce. A pesquisa sinaliza que o crescimento de 2025 começou a pressionar os pontos de fricção. Infraestrutura de escala é investimento estratégico, não gasto administrativo.</w:t>
      </w: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9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Linha de base externa — oportunidades, ameaças e contexto regulatório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C2340" w:sz="12"/>
              <w:bottom w:val="none" w:color="FFFFFF" w:sz="0"/>
              <w:right w:val="none" w:color="FFFFFF" w:sz="0"/>
            </w:tcBorders>
            <w:shd w:fill="EB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6"/>
                <w:szCs w:val="16"/>
              </w:rPr>
              <w:t xml:space="preserve">CALIBRAÇÃO</w:t>
            </w:r>
          </w:p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Esta seção foi atualizada em relação à versão 1.1 (jan/2026). A Resolução SES/MG nº 9.035/2023 expirou em 31/12/2025. Versões anteriores do PE tratavam a resolução como vigente ou em processo de prorrogação. A realidade em fevereiro/2026 é distinta: o regime regulatório mudou e o período de monitoramento está em curso.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9.1 Ambiente regulatório — situação atual (fev/2026)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Status confirmado: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a Resolução SES/MG nº 9.035/2023 expirou em 31/12/2025. Não houve renovação automática. A Resolução SES/MG nº 10.402/2025 (publicada em agosto/2025) alterou dispositivos da 9.035/2023 — seus efeitos práticos sobre prazos, critérios, exigências e mecanismos de execução e monitoramento estão sendo consolidados.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Período de transição: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entre 01/01/2026 e 31/03/2026 vige período de apenas monitoramento — execução plena está condicionada ao novo regime regulatório que sucederá a 9.035/2023. Isso cria restrição real para a conversão de saldo contratual em demanda e execução no 1º trimestre.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Implicação estratégica: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o risco regulatório não é "incerteza sobre renovação" (linguagem do PE original) — é realidade confirmada. A empresa precisa operar com plano explícito para o período de monitoramento (jan–mar/2026) e com estratégia de posicionamento para o novo regime pós-31/03/2026.</w:t>
      </w:r>
    </w:p>
    <w:p>
      <w:pPr>
        <w:spacing w:before="40"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DEC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16"/>
                <w:szCs w:val="16"/>
              </w:rPr>
              <w:t xml:space="preserve">AÇÃO REQUERIDA</w:t>
            </w:r>
          </w:p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Mapeamento e consolidação dos efeitos práticos da Res. 10.402/2025 sobre o portfólio contratual. Definir quais contratos seguem ativos, sob qual regime e com quais obrigações de monitoramento durante o período de transição. Dono: Direção Executiva + Relacionamento/CS. Prazo: março/2026.</w:t>
            </w:r>
          </w:p>
        </w:tc>
      </w:tr>
    </w:tbl>
    <w:p>
      <w:pPr>
        <w:spacing w:before="80" w:after="0"/>
      </w:pP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9.2 Recurso próprio municipal — realidade confirmada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0C2340" w:sz="12"/>
              <w:bottom w:val="none" w:color="FFFFFF" w:sz="0"/>
              <w:right w:val="none" w:color="FFFFFF" w:sz="0"/>
            </w:tcBorders>
            <w:shd w:fill="EBF0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6"/>
                <w:szCs w:val="16"/>
              </w:rPr>
              <w:t xml:space="preserve">CALIBRAÇÃO</w:t>
            </w:r>
          </w:p>
          <w:p>
            <w:pPr>
              <w:spacing w:before="0" w:after="0" w:line="252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 PE original posicionava "recurso próprio municipal" como oportunidade estruturada de expansão. A realidade confirmada pela Direção é que a demanda por recurso próprio dos municípios é 100% reativa — não existe programa ativo, pipeline estruturado nem predisposição institucional para prospecção direta. Isso elimina esse vetor como frente proativa de 2026.</w:t>
            </w:r>
          </w:p>
        </w:tc>
      </w:tr>
    </w:tbl>
    <w:p>
      <w:pPr>
        <w:spacing w:before="60" w:after="0"/>
      </w:pP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/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Posicionamento correto para 2026: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recurso próprio municipal é canal eventual, não frente estruturada. Qualquer demanda nessa linha deve ser tratada como oportunidade pontual e avaliada pelo filtro de margem e complexidade de execução.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9.3 Mercado e expansão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expansão geográfica do Techdengue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para além de MG (e/ou novas arquiteturas de contratação) precisa ser tratada como tese com testes claros: onde, com qual oferta, por qual canal e com quais parceiros. </w:t>
      </w:r>
      <w:r>
        <w:rPr>
          <w:rFonts w:ascii="Calibri" w:cs="Calibri" w:eastAsia="Calibri" w:hAnsi="Calibri"/>
          <w:b/>
          <w:bCs/>
          <w:color w:val="334155"/>
          <w:sz w:val="20"/>
          <w:szCs w:val="20"/>
        </w:rPr>
        <w:t xml:space="preserve">Novos serviços e segmentos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(Aero fora Techdengue) não podem ser uma soma de oportunidades; precisam ser uma tese com recorte: o que fazemos melhor do que o mercado, qual dor resolvemos, qual ticket e margem, qual ciclo de venda.</w:t>
      </w:r>
    </w:p>
    <w:p>
      <w:pPr>
        <w:spacing w:before="240" w:after="100"/>
      </w:pPr>
      <w:r>
        <w:rPr>
          <w:rFonts w:ascii="Calibri" w:cs="Calibri" w:eastAsia="Calibri" w:hAnsi="Calibri"/>
          <w:b/>
          <w:bCs/>
          <w:color w:val="163B5C"/>
          <w:sz w:val="22"/>
          <w:szCs w:val="22"/>
        </w:rPr>
        <w:t xml:space="preserve">9.4 Concorrência e pressão por evidência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 mercado de drones, geotecnologia e serviços para saúde pública tende a atrair mais competidores. A barra sobe: órgãos e auditorias demandam rastreabilidade, evidência de impacto e previsibilidade de entrega. Isso conversa diretamente com a ambição de "Techdengue preparado para venda".</w:t>
      </w: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10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Ligação com os 5 pilares do PE 2026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Para evitar que os documentos virem "textos soltos", este diagnóstico já se conecta aos pilares: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Pilar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Conexão com o diagnóstico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P1 — Estrutura, Governança e Transação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Concentração, separação Aero × Techdengue, previsibilidade e documentação.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P2 — Crescimento e Diversificação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Decisão sobre Aero fora Techdengue; testes de expansão; novos mercados com tese.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P3 — Excelência Operacional e Escala com Margem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Execução do saldo, Pareto, eficiência com qualidade, cadência de entrega.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P4 — Produto, Dados e IA como Vantagem (moat)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Subinvestimento em P&amp;D; dados e IA como diferencial defensável.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P5 — Pessoas, Liderança e Capacidade Intelectual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Gaps de comunicação, onboarding, reconhecimento; infraestrutura de escala.</w:t>
            </w:r>
          </w:p>
        </w:tc>
      </w:tr>
    </w:tbl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11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Tensões que viram decisão (entrada obrigatória no DOC 02)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partir do banco de fatos, ficam formalizadas as decisões que precisam ser tomadas no DOC 02 (Estratégia Master):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6138"/>
      </w:tblGrid>
      <w:tr>
        <w:trPr>
          <w:tblHeader/>
        </w:trP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Tensão</w:t>
            </w:r>
          </w:p>
        </w:tc>
        <w:tc>
          <w:tcPr>
            <w:tcW w:type="dxa" w:w="61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Escopo da decisão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Spin-off Aero × Techdengue</w:t>
            </w:r>
          </w:p>
        </w:tc>
        <w:tc>
          <w:tcPr>
            <w:tcW w:type="dxa" w:w="61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Fronteiras, governança, papéis, rotinas, contabilidade gerencial, marca e responsabilidades.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Techdengue sell-ready (~5 anos)</w:t>
            </w:r>
          </w:p>
        </w:tc>
        <w:tc>
          <w:tcPr>
            <w:tcW w:type="dxa" w:w="61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Governança, previsibilidade, documentação, pacote de due diligence, vantagem em dados/IA.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Monetização da base contratual</w:t>
            </w:r>
          </w:p>
        </w:tc>
        <w:tc>
          <w:tcPr>
            <w:tcW w:type="dxa" w:w="61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Ativação de demanda, CS institucional, Pareto, sala de guerra Q1, indicadores 30/60/90 dias.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Aero fora Techdengue</w:t>
            </w:r>
          </w:p>
        </w:tc>
        <w:tc>
          <w:tcPr>
            <w:tcW w:type="dxa" w:w="61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Crescimento seletivo com tese, diversificação com método ou redefinição de papel.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Densidade intelectual e organograma</w:t>
            </w:r>
          </w:p>
        </w:tc>
        <w:tc>
          <w:tcPr>
            <w:tcW w:type="dxa" w:w="61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Peças-chave, capacidades críticas, rituais de gestão e sistema de decisão.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Envelope orçamentário 2026</w:t>
            </w:r>
          </w:p>
        </w:tc>
        <w:tc>
          <w:tcPr>
            <w:tcW w:type="dxa" w:w="61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Restaurar investimento em P&amp;D/RH/Marketing vs manter nível reduzido (decisão do Bloco 4).</w:t>
            </w:r>
          </w:p>
        </w:tc>
      </w:tr>
    </w:tbl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Conclusão</w:t>
      </w:r>
    </w:p>
    <w:p>
      <w:pPr>
        <w:spacing w:before="80" w:after="80" w:line="264"/>
        <w:jc w:val="both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2025 confirma desempenho operacional forte e margem elevada (34,3%), sustentados majoritariamente pelo Techdengue (91,3% da receita). O diagnóstico revisado incorpora três calibrações críticas: (1) a Resolução SES/MG 9.035/2023 expirou em 31/12/2025 — o regime regulatório mudou e o período de monitoramento até 31/03/2026 é realidade confirmada, não risco futuro; (2) recurso próprio municipal é demanda 100% reativa, eliminado como frente proativa; (3) P&amp;D opera sem equipe formal — modelo de Direção + consultorias. Esses fatos alteram premissas dos documentos subsequentes e são a base da calibração realizada no Bloco 1.</w:t>
      </w:r>
    </w:p>
    <w:p>
      <w:pPr>
        <w:spacing w:before="200" w:after="0"/>
      </w:pPr>
    </w:p>
    <w:p>
      <w:pPr>
        <w:pBdr>
          <w:bottom w:val="single" w:color="2980B9" w:sz="3" w:space="4"/>
        </w:pBdr>
        <w:spacing w:before="360" w:after="60"/>
      </w:pPr>
      <w:r>
        <w:rPr>
          <w:rFonts w:ascii="Calibri" w:cs="Calibri" w:eastAsia="Calibri" w:hAnsi="Calibri"/>
          <w:b/>
          <w:bCs/>
          <w:color w:val="2980B9"/>
          <w:sz w:val="30"/>
          <w:szCs w:val="30"/>
        </w:rPr>
        <w:t xml:space="preserve">  </w:t>
      </w:r>
      <w:r>
        <w:rPr>
          <w:rFonts w:ascii="Calibri Light" w:cs="Calibri Light" w:eastAsia="Calibri Light" w:hAnsi="Calibri Light"/>
          <w:color w:val="0C2340"/>
          <w:sz w:val="30"/>
          <w:szCs w:val="30"/>
        </w:rPr>
        <w:t xml:space="preserve">Glossário de termos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Termo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2980B9" w:sz="2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C2340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Linha de base (baseline)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Ponto de partida medido e documentado, usado como referência para metas e comparação.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Concentração de receita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Dependência de uma única fonte de receita; aumenta risco e reduz resiliência.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PMR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Prazo Médio de Recebimento — tempo entre faturamento e recebimento efetivo.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Subexecução (orçamentária)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Gasto abaixo do previsto; pode indicar eficiência ou subinvestimento.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Ativação de demanda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Ações para induzir o cliente a solicitar e executar o contrato (sem fricção institucional).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Gestão por Pareto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Foco nos poucos itens que concentram a maior parte do impacto.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Taxa de execução (run-rate)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Vazão mensal necessária para consumir estoque (saldo) em uma janela.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Sala de guerra (war room)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Rotina intensiva e temporária com cadência alta e decisões rápidas.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Spin-off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Separação estrutural de unidades de negócio com fronteiras e governança próprias.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Sell-ready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Condição de organização que permite transação com menos risco.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Due diligence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Auditoria/análise profunda em contexto de investimento ou aquisição.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Moat (vantagem defensável)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Diferencial que sustenta vantagem no tempo (dados, tecnologia, processos).</w:t>
            </w:r>
          </w:p>
        </w:tc>
      </w:tr>
      <w:tr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Customer Success (CS)</w:t>
            </w:r>
          </w:p>
        </w:tc>
        <w:tc>
          <w:tcPr>
            <w:tcW w:type="dxa" w:w="6438"/>
            <w:tcBorders>
              <w:top w:val="none" w:color="FFFFFF" w:sz="0"/>
              <w:left w:val="none" w:color="FFFFFF" w:sz="0"/>
              <w:bottom w:val="single" w:color="E2E8F0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Função de retenção, valor percebido, execução e crescimento da base.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4"/>
      </w:pBdr>
      <w:tabs>
        <w:tab w:val="right" w:pos="9638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Confidencial — Uso interno da Direção</w:t>
    </w:r>
    <w:r>
      <w:ptab w:alignment="right" w:relativeTo="margin" w:leader="none"/>
    </w:r>
    <w:r>
      <w:rPr>
        <w:rFonts w:ascii="Calibri" w:cs="Calibri" w:eastAsia="Calibri" w:hAnsi="Calibri"/>
        <w:color w:val="94A3B8"/>
        <w:sz w:val="14"/>
        <w:szCs w:val="14"/>
      </w:rPr>
      <w:t xml:space="preserve">Página </w:t>
    </w:r>
    <w:r>
      <w:rPr>
        <w:rFonts w:ascii="Calibri" w:cs="Calibri" w:eastAsia="Calibri" w:hAnsi="Calibri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4"/>
      </w:pBdr>
    </w:pPr>
    <w:r>
      <w:rPr>
        <w:rFonts w:ascii="Calibri" w:cs="Calibri" w:eastAsia="Calibri" w:hAnsi="Calibri"/>
        <w:color w:val="94A3B8"/>
        <w:sz w:val="16"/>
        <w:szCs w:val="16"/>
      </w:rPr>
      <w:t xml:space="preserve">PE 2026</w:t>
    </w:r>
    <w:r>
      <w:rPr>
        <w:rFonts w:ascii="Calibri" w:cs="Calibri" w:eastAsia="Calibri" w:hAnsi="Calibri"/>
        <w:color w:val="E2E8F0"/>
        <w:sz w:val="16"/>
        <w:szCs w:val="16"/>
      </w:rPr>
      <w:t xml:space="preserve">  |  </w:t>
    </w:r>
    <w:r>
      <w:rPr>
        <w:rFonts w:ascii="Calibri" w:cs="Calibri" w:eastAsia="Calibri" w:hAnsi="Calibri"/>
        <w:color w:val="94A3B8"/>
        <w:sz w:val="16"/>
        <w:szCs w:val="16"/>
      </w:rPr>
      <w:t xml:space="preserve">DOC 01 — Diagnóstico 2025 e Base de Dados —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2026-02-26T18:04:46.363Z</dcterms:created>
  <dcterms:modified xsi:type="dcterms:W3CDTF">2026-02-26T18:04:46.365Z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