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2980B9" w:sz="8" w:space="8"/>
        </w:pBdr>
      </w:pPr>
    </w:p>
    <w:p>
      <w:pPr>
        <w:spacing w:after="200"/>
      </w:pPr>
    </w:p>
    <w:p>
      <w:r>
        <w:rPr>
          <w:rFonts w:ascii="Calibri Light" w:cs="Calibri Light" w:eastAsia="Calibri Light" w:hAnsi="Calibri Light"/>
          <w:color w:val="0C2340"/>
          <w:sz w:val="56"/>
          <w:szCs w:val="56"/>
        </w:rPr>
        <w:t xml:space="preserve">PE 2026</w:t>
      </w:r>
    </w:p>
    <w:p>
      <w:pPr>
        <w:spacing w:after="200"/>
      </w:pPr>
      <w:r>
        <w:rPr>
          <w:rFonts w:ascii="Calibri Light" w:cs="Calibri Light" w:eastAsia="Calibri Light" w:hAnsi="Calibri Light"/>
          <w:color w:val="2980B9"/>
          <w:sz w:val="36"/>
          <w:szCs w:val="36"/>
        </w:rPr>
        <w:t xml:space="preserve">DOC 03 — Arquitetura de Execução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Governança, Método, Cadência e Rastreabilidade</w:t>
      </w:r>
    </w:p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Empresa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Aero Engenharia + Techdengue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2.0 (revisão fev/2026)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Versão anterior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1.1 (15/jan/2026)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B1/B5 — Recalibração + Validação de consistência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Validação + calibrações cirúrgicas (LC-06, LC-07, Cal.#4)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Cláudio Ribeiro — Direção Executiva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Nota de revisão v2.0: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Documento validado e calibrado com as decisões do Bloco 1. Arquitetura de execução preservada — é funcional e correta. Calibrações aplicadas: (1) Comercial referenciado como área em criação nos fóruns e matriz; (2) gatilho regulatório pós-31/03/2026 incluído no protocolo de escalonamento; (3) P&amp;D referenciado como Direção + consultorias; (4) premissas estruturais alinhadas com DOC 02 v2.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POR QUE ESTE DOCUMENTO É DECISIVO PARA 2026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erro mais caro em planejamento é simples: construir direção e deixar a execução ser sequestrada pelo “urgente”. Em 2026, esse erro teria custo multiplicado por três fatores: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Transformação estrutural real: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separação Aero × Techdengue, preparação para transação em horizonte de 5 anos, reorganização do organograma e reforço de capacidade intelectual.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Gargalo econômico 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monetização da base contratual (contrato → demanda → execução → caixa) exige método, cadência e disciplina.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Pressão externa crescente: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reputação institucional, expansão, permanência e concorrência exigem consistência e previsibilidade.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Por isso, o PE2026 será conduzido como um sistema de gestão, e não como um conjunto de documentos estáticos.</w:t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PRINCÍPIOS DE GOVERNANÇA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Princípios estruturantes (não negociáveis)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Responsável único por resultado (accountability):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cada objetivo e resultado-chave possui um dono claro, e esse dono responde por avanço e evidências.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Rastreabilidade total: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tudo o que executamos precisa estar ligado a um objetivo e a um indicador. Sem conexão, não entra na carteira institucional.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Cadência acima de urgência: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 rotina correta reduz improviso, ruído e disputa de prioridade.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Poucas prioridades, alta entrega: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limite explícito de iniciativas simultâneas (WIP — work in progress).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 como padrão: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status não é opinião; é entrega, dado e registro.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Carteira viva: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iniciar menos e concluir mais; cancelar com justificativa quando necessário.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Monetização como disciplina: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o relacionamento com cliente não opera como apoio reativo — opera como motor de execução.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Em 2026, o que não tiver dono, cadência e evidência vira ruído.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DE GOVERNANÇA (NÍVEIS E FÓRUNS)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execução do PE2026 será organizada em quatro níveis, cada um com função clara.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Nível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Fórum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1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Estratégica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Definir escolhas estruturais, não negociáveis e mudanças de rota.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QBR (trimestral) + extraordinárias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Decisões estratégicas registradas; atualizações de tese.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2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Conduzir indicadores, equilibrar áreas, priorizar carteira, garantir monetização.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 (mensal) + War Room Q1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Ajustes de prioridades, carteira e capacidade.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3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Liderança Tática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Transformar estratégia em execução semanal, remover impedimentos.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(semanal)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Entregas semanais, riscos atualizados.</w:t>
            </w:r>
          </w:p>
        </w:tc>
      </w:tr>
      <w:tr>
        <w:tc>
          <w:tcPr>
            <w:tcW w:type="dxa" w:w="16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4 —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Executar iniciativas, produzir evidências, manter riscos visíveis.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Ritos semanais por área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Evidências, status, pedidos de escalonamento.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CADÊNCIA OFICIAL (RITUAIS E OBJETIVOS)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cadência é o motor do PE. Sem ela, a empresa vira refém de urgência.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Revisão Semanal (WBR)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Duração: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60–90 min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Participantes: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Direção + líderes de área (MKT, RH, Produto/Dados/P&amp;D, Operação, Relacionamento/CS, Financeiro). Comercial participa quando a área estiver estruturada.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Agenda padrão: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Placar rápido (10–15 min):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KPIs críticos e variações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Carteira institucional (20–30 min):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entregas da semana + próximos passos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Monetização (15–20 min):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Pareto do saldo, evidências e previsão 30/60/90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Riscos e decisões (10–15 min):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decisões registradas (DEC-*)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Saída obrigatória: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ata curta (decisões, responsáveis, prazos, evidências).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Revisão Mensal (MBR)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Duração: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2–3h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Agenda padrão: resultado do mês (financeiro + operação); KPIs estratégicos por pilar (P1–P5); evolução dos OKRs; carteira de iniciativas (priorização, cancelamentos, dependências); cenários e portões do semestre; pessoas e capacidade (contratações, desenvolvimento, turnover).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Saída obrigatória: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ajustes formais na carteira, com justificativa e registro.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4.3 Revisão Trimestral (QBR)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revisar tese, cenários externos, expansão e decisões estruturais.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Saída: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decisões trimestrais e atualização da tese quando aplicável.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4.4 Sala de Situação Q1 — Monetização (War Room)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Cadência: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semanal (obrigatória no 1º trimestre)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Participantes: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Relacionamento/CS + Operação + Produto/Dados + Financeiro. Comercial participa quando estruturado. Direção como patrocinador.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 versão 1.1 listava Comercial como participante fixo. A área Comercial será criada em 2026 — sua participação nos fóruns é condicional à contratação de liderança (gatilho de ativação).</w:t>
            </w:r>
          </w:p>
        </w:tc>
      </w:tr>
    </w:tbl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Agenda padrão: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Saldo total e vazão (run-rate)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 ha (e em R$ quando disponível)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Pareto Top-14: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situação, bloqueios e ação por contratante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Pipeline de ativação: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7/14/30 dias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Capacidade operacional: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agenda, recursos, gargalos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Evidências enviadas e devolutivas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recebidas do cliente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Decisões e escalonamentos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(o que sobe para a WBR)</w:t>
      </w:r>
    </w:p>
    <w:p>
      <w:pPr>
        <w:spacing w:after="40"/>
      </w:pP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Saída obrigatória: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atualização do Pareto (PAR-CT-01), plano de ativação por contratante (ACT-CT-*), previsão 30/60/90 dias por contratante.</w:t>
      </w:r>
    </w:p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PAPÉIS E RESPONSABILIDADES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5.1 Regras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Tema Estratégico (TH-XX) tem um responsável executivo.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Resultado-chave (KR) tem um dono único.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Cada Iniciativa (INIT-*) tem um responsável de entrega.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dono do KR não pode ser “uma área”; precisa ser uma pessoa.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5.2 Matriz macro (papel de cada área na execução)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rPr>
          <w:tblHeader/>
        </w:trPr>
        <w:tc>
          <w:tcPr>
            <w:tcW w:type="dxa" w:w="1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Área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Papel na execução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 v2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Direção Executiva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Responsável final pelos pilares e temas centrais; guardião da disciplina do sistema.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Financeiro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Previsibilidade, DRE gerencial por unidade, controles e limites de segurança (guardrails).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Relacionamento / CS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Motor de ativação de demanda e previsibilidade 30/60/90 (eixo monetização).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Área mais crítica do ano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Comercial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Expansão e diversificação com tese; apoio à ativação em casos prioritários.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ÁREA EM CRIAÇÃO: </w:t>
            </w: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ativação condicionada à contratação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Operação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Capacidade, produtividade, qualidade e prontidão para execução.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P&amp;D / Produto / Dados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Evidência, produto e inteligência para decisão; diferencial defensável.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334155"/>
                <w:sz w:val="18"/>
                <w:szCs w:val="18"/>
              </w:rPr>
              <w:t xml:space="preserve">Opera via Direção + consultorias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intelectual, liderança, onboarding, cultura e marca empregadora.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Marketing</w:t>
            </w:r>
          </w:p>
        </w:tc>
        <w:tc>
          <w:tcPr>
            <w:tcW w:type="dxa" w:w="4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Marca, narrativa de evidência e suporte à expansão/renovação.</w:t>
            </w:r>
          </w:p>
        </w:tc>
        <w:tc>
          <w:tcPr>
            <w:tcW w:type="dxa" w:w="3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—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REGISTROS FORMAIS (DISCIPLINA DOCUMENTAL)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reduzir ruído e preservar memória institucional, o PE opera com quatro registros oficiais: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de decisões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DEC-*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Histórico formal do que foi decidido, quando e por qual razão.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de riscos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RSK-*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Lista formal de riscos, impacto, probabilidade, mitigação e gatilhos.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da carteira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INIT-*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Conjunto de iniciativas estratégicas, gerido por prioridade e capacidade.</w:t>
            </w:r>
          </w:p>
        </w:tc>
      </w:tr>
      <w:tr>
        <w:tc>
          <w:tcPr>
            <w:tcW w:type="dxa" w:w="24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evidências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EVID-*</w:t>
            </w:r>
          </w:p>
        </w:tc>
        <w:tc>
          <w:tcPr>
            <w:tcW w:type="dxa" w:w="57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Provas organizadas (entregas, relatórios, atas, indicadores).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GESTÃO DA CARTEIRA (PRIORIZAÇÃO E CAPACIDADE)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7.1 Limite de iniciativas simultâneas (WIP)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Carteira institucional simultânea: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7–10 iniciativas (máximo)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Por área: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3–5 iniciativas (máximo)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Sala de Situação Q1: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até 14 frentes (Pareto), com pipeline semanal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7.2 Critérios de priorização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Toda iniciativa é avaliada por: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Impacto em monetização e previsibilidade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Impacto em governança e preparação para transação (sell-ready)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Impacto em crescimento/expansão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Esforço/capacidade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Risco institucional/operacional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0C2340" w:sz="12"/>
              <w:bottom w:val="none" w:sz="0"/>
              <w:right w:val="none" w:sz="0"/>
            </w:tcBorders>
            <w:shd w:fill="E8F0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Iniciativa que não melhora pelo menos dois desses pontos tende a ser “bar ulho”.</w:t>
            </w:r>
          </w:p>
        </w:tc>
      </w:tr>
    </w:tbl>
    <w:p>
      <w:r>
        <w:br w:type="page"/>
      </w: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ESTRUTURA DO PLACAR (KPIS) — MÍNIMO OBRIGATÓRIO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placar institucional opera em três camadas.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  <w:tc>
          <w:tcPr>
            <w:tcW w:type="dxa" w:w="41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Exemplos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1 — Limites de segurança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Guardrails: métricas que não podem ser violadas.</w:t>
            </w:r>
          </w:p>
        </w:tc>
        <w:tc>
          <w:tcPr>
            <w:tcW w:type="dxa" w:w="4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Margem operacional; caixa e previsibilidade; qualidade operacional (SLA, retrabalho); saúde organizacional (turnover, clima).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2 — Indicadores estratégicos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Conjunto enxuto por pilar (P1–P5).</w:t>
            </w:r>
          </w:p>
        </w:tc>
        <w:tc>
          <w:tcPr>
            <w:tcW w:type="dxa" w:w="4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Definidos no DOC 05 (Placar Institucional).</w:t>
            </w:r>
          </w:p>
        </w:tc>
      </w:tr>
      <w:tr>
        <w:tc>
          <w:tcPr>
            <w:tcW w:type="dxa" w:w="20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3 — Indicadores de monetização</w:t>
            </w:r>
          </w:p>
        </w:tc>
        <w:tc>
          <w:tcPr>
            <w:tcW w:type="dxa" w:w="3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Obrigatórios — eixo econômico do ano.</w:t>
            </w:r>
          </w:p>
        </w:tc>
        <w:tc>
          <w:tcPr>
            <w:tcW w:type="dxa" w:w="4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Execução da base (% e saldo em ha); vazão semanal/mensal; taxa de ativação; previsão 30/60/90; “idade do saldo”.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PROTOCOLO DE ESCALONAMENTO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Qualquer condição abaixo sobe automaticamente para a revisão semanal (WBR):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160"/>
        <w:gridCol w:w="2200"/>
      </w:tblGrid>
      <w:tr>
        <w:trPr>
          <w:tblHeader/>
        </w:trPr>
        <w:tc>
          <w:tcPr>
            <w:tcW w:type="dxa" w:w="71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Gatilho de escalonamento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Criticidade</w:t>
            </w:r>
          </w:p>
        </w:tc>
      </w:tr>
      <w:tr>
        <w:tc>
          <w:tcPr>
            <w:tcW w:type="dxa" w:w="7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Queda de vazão por 2 semanas consecutivas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Bloqueio institucional em contratante Pareto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Capacidade operacional insuficiente para execução planejada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Risco regulatório sem plano de resposta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KR crítico atrasado por 2 ciclos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1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8"/>
                <w:szCs w:val="18"/>
              </w:rPr>
              <w:t xml:space="preserve">Regime pós-31/03/2026 sem posicionamento definido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8"/>
                <w:szCs w:val="18"/>
              </w:rPr>
              <w:t xml:space="preserve">CRÍTICO (NOVO)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sz="0"/>
              <w:left w:val="single" w:color="B8860B" w:sz="12"/>
              <w:bottom w:val="none" w:sz="0"/>
              <w:right w:val="none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20"/>
                <w:szCs w:val="20"/>
              </w:rPr>
              <w:t xml:space="preserve">Calibração (fev/2026): </w:t>
            </w:r>
          </w:p>
          <w:p>
            <w:pPr>
              <w:spacing w:after="60" w:line="264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Adicionado gatilho de escalonamento para o regime regulatório pós-31/03/2026 (expiração da Res. SES/MG 9.035/2023 e transição para Res. 10.402/2025). Se até 15/03/2026 não houver posicionamento definido sobre o novo regime, o tema sobe automaticamente para QBR extraordinária.</w:t>
            </w:r>
          </w:p>
        </w:tc>
      </w:tr>
    </w:tbl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INTEGRAÇÃO COM OS DEMAIS DOCUMENTOS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execução seguirá o encadeamento: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DOC 02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tese e temas estratégicos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DOC 04/05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pilares consolidados e placar institucional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DOC 06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OKRs corporativos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DOC 11-*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OKRs e planos por área (cadernos setoriais)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DOC 08/09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carteira priorizada e capacidade/orçamento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DOC 10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— plano de riscos e gatilhos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Execução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com registros formais + cadência + evidências</w:t>
      </w:r>
    </w:p>
    <w:p>
      <w:pPr>
        <w:spacing w:after="200"/>
      </w:pPr>
    </w:p>
    <w:p>
      <w:pPr>
        <w:pBdr>
          <w:top w:val="single" w:color="2980B9" w:sz="6" w:space="8"/>
        </w:pBdr>
        <w:spacing w:after="120" w:before="200"/>
      </w:pPr>
      <w:r>
        <w:rPr>
          <w:rFonts w:ascii="Calibri Light" w:cs="Calibri Light" w:eastAsia="Calibri Light" w:hAnsi="Calibri Light"/>
          <w:color w:val="0C2340"/>
          <w:sz w:val="28"/>
          <w:szCs w:val="28"/>
        </w:rPr>
        <w:t xml:space="preserve">Conclusão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execução do PE2026 será sustentada por um sistema simples e disciplinado: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cadência (semanal, mensal e trimestral), sala de situação no Q1 para monetização, registros formais (decisão, risco, carteira e evidência) e gestão explícita de capacidade.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Em relação à versão 1.1, as calibrações de fevereiro/2026 foram incorporadas: Comercial referenciado como área em criação (participação condicional nos fóruns), P&amp;D posicionado como Direção + consultorias, e gatilho regulatório pós-31/03/2026 incluído no protocolo de escalonamento. A arquitetura de execução permanece íntegra — a calibração é de contexto, não de método.</w:t>
      </w:r>
    </w:p>
    <w:p>
      <w:pPr>
        <w:spacing w:after="200"/>
      </w:pPr>
    </w:p>
    <w:p>
      <w:pPr>
        <w:pBdr>
          <w:bottom w:val="single" w:color="2980B9" w:sz="6" w:space="4"/>
        </w:pBdr>
        <w:spacing w:after="200" w:before="360"/>
      </w:pPr>
      <w:r>
        <w:rPr>
          <w:rFonts w:ascii="Calibri Light" w:cs="Calibri Light" w:eastAsia="Calibri Light" w:hAnsi="Calibri Light"/>
          <w:color w:val="2980B9"/>
          <w:sz w:val="30"/>
          <w:szCs w:val="30"/>
        </w:rPr>
        <w:t xml:space="preserve"/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Termo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0C2340" w:sz="4"/>
              <w:right w:val="none" w:sz="0"/>
            </w:tcBorders>
            <w:shd w:fill="0C234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Accountability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Princípio de gestão em que um dono responde por avanço, decisões e evidências.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WIP (work in progress)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Limite de iniciativas simultâneas para evitar dispersão.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WBR (weekly business review)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semanal de execução, impedimentos e decisões.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MBR (monthly business review)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mensal de consolidação de resultado e ajuste de carteira.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QBR (quarterly business review)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Rito trimestral de revisão de tese, cenários e decisões estruturais.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War room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Fórum intensivo para destravar tema crítico (monetização no Q1).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Run-rate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Vazão de execução por período (ha/semana, ha/mês).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OKRs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Método de metas com objetivo qualitativo e resultados mensuráveis.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Carteira de iniciativas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Conjunto de iniciativas estratégicas, gerido por prioridade e capacidade.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DEC-*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formal de decisões (o quê, quando, por quê).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RSK-*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Registro formal de riscos (impacto, probabilidade, mitigação).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EVID-*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single" w:color="E2E8F0" w:sz="1"/>
              <w:right w:val="none" w:sz="0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Pacote de evidências organizadas (entregas, relatórios, atas, indicadores).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026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rPr>
        <w:rFonts w:ascii="Calibri" w:cs="Calibri" w:eastAsia="Calibri" w:hAnsi="Calibri"/>
        <w:sz w:val="14"/>
        <w:szCs w:val="14"/>
      </w:rPr>
      <w:t xml:space="preserve">	</w:t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4A3B8" w:sz="2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94A3B8"/>
        <w:sz w:val="16"/>
        <w:szCs w:val="16"/>
      </w:rPr>
      <w:t xml:space="preserve">  |  DOC 03 — Arquitetura de Execução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2026-02-27T19:37:13.310Z</dcterms:created>
  <dcterms:modified xsi:type="dcterms:W3CDTF">2026-02-27T19:37:13.311Z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