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pBdr>
          <w:bottom w:val="single" w:color="2980B9" w:sz="8" w:space="8"/>
        </w:pBdr>
      </w:pPr>
    </w:p>
    <w:p>
      <w:pPr>
        <w:spacing w:after="200"/>
      </w:pPr>
    </w:p>
    <w:p>
      <w:r>
        <w:rPr>
          <w:rFonts w:ascii="Calibri Light" w:cs="Calibri Light" w:eastAsia="Calibri Light" w:hAnsi="Calibri Light"/>
          <w:color w:val="0C2340"/>
          <w:sz w:val="56"/>
          <w:szCs w:val="56"/>
        </w:rPr>
        <w:t xml:space="preserve">PE 2026</w:t>
      </w:r>
    </w:p>
    <w:p>
      <w:pPr>
        <w:spacing w:after="200"/>
      </w:pPr>
      <w:r>
        <w:rPr>
          <w:rFonts w:ascii="Calibri Light" w:cs="Calibri Light" w:eastAsia="Calibri Light" w:hAnsi="Calibri Light"/>
          <w:color w:val="2980B9"/>
          <w:sz w:val="36"/>
          <w:szCs w:val="36"/>
        </w:rPr>
        <w:t xml:space="preserve">DOC 05 — Placar Institucional 2026</w:t>
      </w:r>
    </w:p>
    <w:p>
      <w:pPr>
        <w:spacing w:after="8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Indicadores, Limites de Segurança, Monetização e Cadência</w:t>
      </w:r>
    </w:p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Empresa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Aero Engenharia + Techdengue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Versão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2.0 (revisão fev/2026)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Versão anterior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1.1 (15/jan/2026)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Bloco de origem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B5 — Validação de consistência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Ação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Validação + calibrações (LC-06, Cal.#4, LC-07)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Cláudio Ribeiro — Direção Executiva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Confidencial — Uso interno da Direção</w:t>
            </w:r>
          </w:p>
        </w:tc>
      </w:tr>
    </w:tbl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0C2340" w:sz="12"/>
              <w:bottom w:val="none" w:sz="0"/>
              <w:right w:val="none" w:sz="0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Nota de revisão v2.0: 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Placar preservado integralmente — 3 camadas (guardrails, KPIs por pilar, monetização) são coerentes e funcionais. Calibrações: (1) P1.KPI-03 atualizado com risco regulatório específico (Res. 9.035 → 10.402); (2) donos de P2 e P4 ajustados para áreas condicionais (Comercial em criação, P&amp;D via Direção + consultorias); (3) referências cruzadas com DOCs 03/04 v2 atualizadas.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1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Premissas do placar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Um placar institucional eficiente cumpre três funções ao mesmo tempo: protege o negócio (limites de segurança), orienta decisões (poucos indicadores que explicam o resultado) e viabiliza execução (cadência e donos claros — sem isso, vira painel decorativo).</w:t>
      </w:r>
    </w:p>
    <w:p>
      <w:pPr>
        <w:spacing w:after="4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Regras do placar (fixas)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Regra 1 — Simplicidade com poder: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poucos indicadores, altamente explicativos.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Regra 2 — Dono e fonte definidos: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sem dono e sem fonte, não entra no placar.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Regra 3 — Cadência coerente: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indicador estratégico não se discute quando já é tarde.</w:t>
      </w: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2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Estrutura do Placar Institucional (3 camadas)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Foco</w:t>
            </w:r>
          </w:p>
        </w:tc>
        <w:tc>
          <w:tcPr>
            <w:tcW w:type="dxa" w:w="356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 — Guardrails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Margem, caixa, qualidade, saúde</w:t>
            </w:r>
          </w:p>
        </w:tc>
        <w:tc>
          <w:tcPr>
            <w:tcW w:type="dxa" w:w="3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Proteger o negócio — limites que não podem piorar sem correção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 — KPIs por Pilar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P1–P5 (2–4 KPIs cada)</w:t>
            </w:r>
          </w:p>
        </w:tc>
        <w:tc>
          <w:tcPr>
            <w:tcW w:type="dxa" w:w="3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Medir se a estratégia avança no que importa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 — Monetização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Contrato→Demanda→Execução→Caixa</w:t>
            </w:r>
          </w:p>
        </w:tc>
        <w:tc>
          <w:tcPr>
            <w:tcW w:type="dxa" w:w="3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Motor do ano — acompanhamento semanal no Q1</w:t>
            </w:r>
          </w:p>
        </w:tc>
      </w:tr>
    </w:tbl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3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Padrão de cadastro de KPI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Todo indicador do placar deve ser registrado com o mesmo cartão, garantindo rastreabilidade: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Código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Identificação única (ex.: A2, P3.KPI-02, C3)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Definição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 que mede (uma frase)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Cálculo / evidência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Fórmula ou checklist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Unidade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R$, %, ha, nº, índice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Dono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Pessoa/área responsável por atualizar e explicar variações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Fonte de dados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Planilha/sistema/painel e aba/visão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Cadência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Semanal / mensal / trimestral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Fórum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WBR / MBR / QBR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Gatilho de alerta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Condição objetiva que exige ação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0E8C6B" w:sz="12"/>
              <w:bottom w:val="none" w:sz="0"/>
              <w:right w:val="none" w:sz="0"/>
            </w:tcBorders>
            <w:shd w:fill="EB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Nota: 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Metas numéricas finais (alvos) serão formalizadas no DOC 06 (OKRs). Neste documento, o foco é definição, governança, cadência e gatilhos.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4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Camada A — Limites de Segurança (Guardrails)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Indicadores que não podem piorar sem acionar correção de rota.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E8F0F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A1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Margem operacional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Definição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Resultado operacional / receita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Cadência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Mensal (MBR)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Gatilho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Queda por 2 meses seguidos sem justificativa de investimento estratégico aprovado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Dono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Financeiro (com Direção Executiva)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Fonte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DRE / base financeira oficial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E8F0F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A2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Caixa e previsibilidade (30/60/90)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Definição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Posição de caixa + projeção de entradas/saídas (30/60/90)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Cadência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Semanal (WBR) e mensal (MBR)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Gatilho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Quebra de previsibilidade ou risco de compressão de caixa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Dono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Financeiro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Fonte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Fluxo de caixa projetado + contas a receber/pagar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E8F0F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A3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Qualidade de entrega e reputação institucional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Definição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Retrabalho, falhas críticas, reclamações relevantes e SLA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Cadência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Semanal (WBR) com consolidação mensal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Gatilho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Aumento de falhas repetidas ou desgaste em clientes prioritários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Dono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Operação (CS como co-responsável de leitura)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Fonte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Registro de ocorrências + tickets + relatórios de qualidade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E8F0F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A4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Saúde organizacional (turnover e clima)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Definição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Rotatividade acumulada + pulso de clima + sinais de engajamento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Cadência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Mensal (MBR)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Gatilho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Aceleração de turnover ou queda persistente de clima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Dono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RH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Fonte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Controles de RH + pesquisa de pulso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5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Camada B — Indicadores estratégicos por Pilar (P1–P5)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Diretriz de desenho: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2 a 4 KPIs por pilar. Poucos, fortes e rastreáveis.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P1 — Estrutura corporativa, governança e preparação para transação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E8F0F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P1.KPI-01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Separação gerencial por unidades (Aero × Techdengue)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Definição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Grau de implementação de rotinas, fronteiras e apuração gerencial por unidade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Como medir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Checklist de marcos (DRE gerencial, centros de custo, rotina mensal, relatórios)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Cadência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Mensal (MBR)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Dono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Direção Executiva + Consultora Estratégica Corporativa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E8F0F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P1.KPI-02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Disciplina documental e evidências institucionais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Definição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Maturidade do registro de decisões, riscos e evidências (DEC/RSK/EVID)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Como medir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% de iniciativas estratégicas com evidência completa e atualizada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Cadência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Mensal (MBR)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Dono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Direção Executiva + Consultora Estratégica Corporativa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E8F0F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P1.KPI-03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Risco regulatório e institucional (mapa ativo)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Definição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Riscos críticos mapeados, com dono, gatilho e plano ativo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Como medir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% de riscos críticos com plano e revisão atualizada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Cadência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Mensal (MBR) + acionamento imediato por gatilho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Dono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Direção Executiva + Financeiro (suporte jurídico quando aplicável)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Foco 2026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0392B"/>
                <w:sz w:val="17"/>
                <w:szCs w:val="17"/>
              </w:rPr>
              <w:t xml:space="preserve">Res. SES/MG 9.035/2023 expirou em 31/12/2025. Monitoramento até 31/03/2026. Transição para Res. 10.402/2025 em curso. Gatilho de escalonamento específico em DOC 03 v2.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P2 — Crescimento e diversificação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E8F0F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P2.KPI-01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Receita por unidade e concentração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Definição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Participação Techdengue vs Aero + concentração por cliente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Como medir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% Techdengue na receita + % top 1 + % top 5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Cadência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Mensal (MBR)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Dono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Financeiro (leitura de concentração/margem)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E8F0F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P2.KPI-02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Expansão com permanência (crescer sem perder base)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Definição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Crescimento com retenção/renovação e saúde da base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Como medir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Renovações, contratos ativos, expansão em territórios-alvo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Cadência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Mensal (MBR)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Dono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CS/Relacionamento (+ Comercial quando área estiver estruturada)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E8F0F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P2.KPI-03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Diversificação da Aero (tese e entrega)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Definição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Avanço real da Aero fora Techdengue conforme tese definida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Como medir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Receita, margem e nº de clientes qualificados (não volume)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Cadência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Mensal (MBR)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Dono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Direção Executiva (até ativação da área Comercial)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B8860B" w:sz="12"/>
              <w:bottom w:val="none" w:sz="0"/>
              <w:right w:val="none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Calibração (fev/2026): 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Área Comercial será criada em 2026 — até sua ativação, funções comerciais e donos de KPIs de P2 são absorvidos pela Direção Executiva e CS. Quando Comercial estiver estruturado, assume P2.KPI-02 e P2.KPI-03 como dono primário.</w:t>
            </w:r>
          </w:p>
        </w:tc>
      </w:tr>
    </w:tbl>
    <w:p>
      <w:r>
        <w:br w:type="pag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P3 — Excelência operacional e escala com margem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E8F0F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P3.KPI-01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Capacidade operacional e prontidão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Definição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Capacidade disponível vs capacidade necessária (janelas críticas)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Como medir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Agenda/capacidade semanal + taxa de ocupação + gargalos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Cadência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Semanal no Q1; mensal no restante do ano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Dono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Operação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E8F0F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P3.KPI-02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Produtividade operacional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Definição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Produção por recurso (ha por equipe/piloto/semana)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Cadência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Semanal (WBR) com consolidação mensal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Dono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Operação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E8F0F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P3.KPI-03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Qualidade e retrabalho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Definição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Taxa de retrabalho, falhas e correções por lote/entrega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Cadência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Semanal/mensal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Dono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Operação (CS como co-leitura para impacto em reputação)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P4 — Produto, dados e IA como vantagem defensável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0E8C6B" w:sz="12"/>
              <w:bottom w:val="none" w:sz="0"/>
              <w:right w:val="none" w:sz="0"/>
            </w:tcBorders>
            <w:shd w:fill="EB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Modelo operacional (fev/2026): 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P&amp;D opera via Direção Executiva + consultorias sob demanda. Donos de KPIs de P4 são a Direção (coordenação) com fornecedores especializados na execução.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E8F0F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P4.KPI-01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Produto e retenção (uso e valor percebido)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Definição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Adoção do produto e entrega de valor ao gestor público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Como medir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Métricas de uso + entregas acionáveis + feedback estruturado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Cadência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Mensal (MBR)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Dono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Direção Executiva (coordenação P&amp;D)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E8F0F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P4.KPI-02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Evidência e prova de valor (indução de demanda)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Definição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Produção e entrega de materiais que sustentam demanda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Como medir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Nº de provas entregues aos clientes Pareto + devolutiva recebida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Cadência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Semanal no Q1; mensal após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Dono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Direção Executiva (coordenação P&amp;D + MKT)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E8F0F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P4.KPI-03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Automação e ganhos operacionais (IA aplicada)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Definição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Ganhos de produtividade e redução de custo/tempo por automação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Cadência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Mensal (MBR)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Dono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Direção Executiva (coordenação P&amp;D)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P5 — Pessoas, liderança e capacidade intelectual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E8F0F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P5.KPI-01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Turnover e estabilidade do time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Definição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Turnover acumulado, por área e por função crítica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Cadência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Mensal (MBR)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Dono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RH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E8F0F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P5.KPI-02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Liderança e ritos de gestão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Definição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Maturidade de gestão (cadência, 1:1, alinhamento, comunicação)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Como medir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Checklist de ritos implantados e aderência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Cadência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Mensal (MBR)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Dono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RH (com Direção Executiva)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E8F0F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P5.KPI-03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Onboarding e integração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Definição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Efetividade do onboarding e suporte a novos colaboradores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Cadência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Mensal (MBR)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Dono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RH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E8F0F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P5.KPI-04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Densidade intelectual (capacidade crítica)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Definição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Preenchimento de posições-chave + evolução de competências críticas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Cadência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Mensal/trimestral (MBR/QBR)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Dono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RH (com Direção Executiva como patrocinador)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Foco 2026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17"/>
                <w:szCs w:val="17"/>
              </w:rPr>
              <w:t xml:space="preserve">COO/Diretor de Operações + liderança Comercial como contratações prioritárias.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6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Camada C — Monetização da Base Contratual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Motor do ano.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Acompanhamento semanal no Q1 via Sala de Situação (War Room), mensal no restante do ano.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700"/>
        <w:gridCol w:w="2360"/>
      </w:tblGrid>
      <w:tr>
        <w:trPr>
          <w:tblHeader/>
        </w:trPr>
        <w:tc>
          <w:tcPr>
            <w:tcW w:type="dxa" w:w="9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37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  <w:tc>
          <w:tcPr>
            <w:tcW w:type="dxa" w:w="236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Cadência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C1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Saldo a executar (ha)</w:t>
            </w:r>
          </w:p>
        </w:tc>
        <w:tc>
          <w:tcPr>
            <w:tcW w:type="dxa" w:w="37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Saldo total e por contratante</w:t>
            </w:r>
          </w:p>
        </w:tc>
        <w:tc>
          <w:tcPr>
            <w:tcW w:type="dxa" w:w="23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Semanal + mensal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C2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Execução acumulada (%)</w:t>
            </w:r>
          </w:p>
        </w:tc>
        <w:tc>
          <w:tcPr>
            <w:tcW w:type="dxa" w:w="37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Execução base / executável total</w:t>
            </w:r>
          </w:p>
        </w:tc>
        <w:tc>
          <w:tcPr>
            <w:tcW w:type="dxa" w:w="23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Semanal + mensal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C3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Vazão (run-rate)</w:t>
            </w:r>
          </w:p>
        </w:tc>
        <w:tc>
          <w:tcPr>
            <w:tcW w:type="dxa" w:w="37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ha executados por semana e por mês</w:t>
            </w:r>
          </w:p>
        </w:tc>
        <w:tc>
          <w:tcPr>
            <w:tcW w:type="dxa" w:w="23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Semanal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C4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Taxa de ativação de demanda</w:t>
            </w:r>
          </w:p>
        </w:tc>
        <w:tc>
          <w:tcPr>
            <w:tcW w:type="dxa" w:w="37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% de contratantes com demanda ativa</w:t>
            </w:r>
          </w:p>
        </w:tc>
        <w:tc>
          <w:tcPr>
            <w:tcW w:type="dxa" w:w="23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Semanal/mensal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C5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Previsão 30/60/90 (Pareto)</w:t>
            </w:r>
          </w:p>
        </w:tc>
        <w:tc>
          <w:tcPr>
            <w:tcW w:type="dxa" w:w="37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Previsão de demanda + execução com evidência</w:t>
            </w:r>
          </w:p>
        </w:tc>
        <w:tc>
          <w:tcPr>
            <w:tcW w:type="dxa" w:w="23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Semanal + mensal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C6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Idade do saldo</w:t>
            </w:r>
          </w:p>
        </w:tc>
        <w:tc>
          <w:tcPr>
            <w:tcW w:type="dxa" w:w="37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Tempo sem execução relevante por contrato</w:t>
            </w:r>
          </w:p>
        </w:tc>
        <w:tc>
          <w:tcPr>
            <w:tcW w:type="dxa" w:w="23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Mensal + alerta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C7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Pareto do saldo (Top 14 / Top 32)</w:t>
            </w:r>
          </w:p>
        </w:tc>
        <w:tc>
          <w:tcPr>
            <w:tcW w:type="dxa" w:w="37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Concentração e status por grupo prioritário</w:t>
            </w:r>
          </w:p>
        </w:tc>
        <w:tc>
          <w:tcPr>
            <w:tcW w:type="dxa" w:w="23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Semanal Q1; mensal após</w:t>
            </w:r>
          </w:p>
        </w:tc>
      </w:tr>
    </w:tbl>
    <w:p>
      <w:pPr>
        <w:spacing w:after="40"/>
      </w:pP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Dono do bloco C: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CS/Relacionamento (com Operação, Financeiro e Direção como co-responsáveis por capacidade, estratégia e impacto financeiro). Comercial assume co-responsabilidade quando a área estiver estruturada.</w:t>
      </w: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7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Responsáveis, fontes e cadência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7.1 Regra para entrar no placar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Um KPI só existe oficialmente se tem definição clara, fonte de dados, dono, cadência e rito onde é discutido.</w:t>
      </w:r>
    </w:p>
    <w:p>
      <w:pPr>
        <w:spacing w:after="4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7.2 Donos (macro)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Escopo de indicadores</w:t>
            </w:r>
          </w:p>
        </w:tc>
        <w:tc>
          <w:tcPr>
            <w:tcW w:type="dxa" w:w="296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 fev/2026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Financeiro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Margem, caixa, apuração por unidade, concentração</w:t>
            </w:r>
          </w:p>
        </w:tc>
        <w:tc>
          <w:tcPr>
            <w:tcW w:type="dxa" w:w="2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Operação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Produtividade, capacidade, qualidade, retrabalho</w:t>
            </w:r>
          </w:p>
        </w:tc>
        <w:tc>
          <w:tcPr>
            <w:tcW w:type="dxa" w:w="2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CS/Relacionamento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Ativação, previsão 30/60/90, idade do saldo, Pareto</w:t>
            </w:r>
          </w:p>
        </w:tc>
        <w:tc>
          <w:tcPr>
            <w:tcW w:type="dxa" w:w="2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334155"/>
                <w:sz w:val="18"/>
                <w:szCs w:val="18"/>
              </w:rPr>
              <w:t xml:space="preserve">Comercial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Expansão, pipeline, diversificação Aero</w:t>
            </w:r>
          </w:p>
        </w:tc>
        <w:tc>
          <w:tcPr>
            <w:tcW w:type="dxa" w:w="2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ÁREA EM CRIAÇÃO — absorvido por Direção + CS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334155"/>
                <w:sz w:val="18"/>
                <w:szCs w:val="18"/>
              </w:rPr>
              <w:t xml:space="preserve">P&amp;D / Produto / Dados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Evidência, uso do produto, automação, inteligência</w:t>
            </w:r>
          </w:p>
        </w:tc>
        <w:tc>
          <w:tcPr>
            <w:tcW w:type="dxa" w:w="2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8"/>
                <w:szCs w:val="18"/>
              </w:rPr>
              <w:t xml:space="preserve">Via Direção + consultorias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RH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Turnover, liderança, onboarding, densidade intelectual</w:t>
            </w:r>
          </w:p>
        </w:tc>
        <w:tc>
          <w:tcPr>
            <w:tcW w:type="dxa" w:w="2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Marketing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Reputação, posicionamento, apoio à expansão e prova de valor</w:t>
            </w:r>
          </w:p>
        </w:tc>
        <w:tc>
          <w:tcPr>
            <w:tcW w:type="dxa" w:w="2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Ativo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0C2340" w:sz="12"/>
              <w:bottom w:val="none" w:sz="0"/>
              <w:right w:val="none" w:sz="0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Nota de governança: 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 Consultora Estratégica Corporativa atua como guardiã do sistema (cadência, metodologia, rastreabilidade e qualidade do acompanhamento), sem substituir os donos dos indicadores e sem assumir execução operacional.</w:t>
            </w:r>
          </w:p>
        </w:tc>
      </w:tr>
    </w:tbl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8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Protocolos de ação (o placar não é contemplativo)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placar aciona decisões. Regras objetivas: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600"/>
        <w:gridCol w:w="1760"/>
      </w:tblGrid>
      <w:tr>
        <w:trPr>
          <w:tblHeader/>
        </w:trPr>
        <w:tc>
          <w:tcPr>
            <w:tcW w:type="dxa" w:w="30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Gatilho</w:t>
            </w:r>
          </w:p>
        </w:tc>
        <w:tc>
          <w:tcPr>
            <w:tcW w:type="dxa" w:w="46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176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Fórum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Queda de vazão (C3) por 2 semanas</w:t>
            </w:r>
          </w:p>
        </w:tc>
        <w:tc>
          <w:tcPr>
            <w:tcW w:type="dxa" w:w="46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Pauta executiva imediata + replanejamento de capacidade</w:t>
            </w:r>
          </w:p>
        </w:tc>
        <w:tc>
          <w:tcPr>
            <w:tcW w:type="dxa" w:w="1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WBR → MBR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Pareto com bloqueios em baixa execução</w:t>
            </w:r>
          </w:p>
        </w:tc>
        <w:tc>
          <w:tcPr>
            <w:tcW w:type="dxa" w:w="46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Plano específico por contratante com responsável</w:t>
            </w:r>
          </w:p>
        </w:tc>
        <w:tc>
          <w:tcPr>
            <w:tcW w:type="dxa" w:w="1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WBR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Queda de margem sem justificativa</w:t>
            </w:r>
          </w:p>
        </w:tc>
        <w:tc>
          <w:tcPr>
            <w:tcW w:type="dxa" w:w="46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Revisão de custos, preço e produtividade</w:t>
            </w:r>
          </w:p>
        </w:tc>
        <w:tc>
          <w:tcPr>
            <w:tcW w:type="dxa" w:w="1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MBR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Aumento de retrabalho</w:t>
            </w:r>
          </w:p>
        </w:tc>
        <w:tc>
          <w:tcPr>
            <w:tcW w:type="dxa" w:w="46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Revisão de processo e reforço do padrão</w:t>
            </w:r>
          </w:p>
        </w:tc>
        <w:tc>
          <w:tcPr>
            <w:tcW w:type="dxa" w:w="1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WBR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Sinais de desgaste de pessoas</w:t>
            </w:r>
          </w:p>
        </w:tc>
        <w:tc>
          <w:tcPr>
            <w:tcW w:type="dxa" w:w="46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Reforço de gestão, ritos e ajustes de carga</w:t>
            </w:r>
          </w:p>
        </w:tc>
        <w:tc>
          <w:tcPr>
            <w:tcW w:type="dxa" w:w="1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MBR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Regime regulatório pós-31/03 indefinido</w:t>
            </w:r>
          </w:p>
        </w:tc>
        <w:tc>
          <w:tcPr>
            <w:tcW w:type="dxa" w:w="46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Escalonamento para QBR extraordinária se sem posição até 15/03</w:t>
            </w:r>
          </w:p>
        </w:tc>
        <w:tc>
          <w:tcPr>
            <w:tcW w:type="dxa" w:w="1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QBR</w:t>
            </w:r>
          </w:p>
        </w:tc>
      </w:tr>
    </w:tbl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9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Encaminhamento para o DOC 06 (OKRs)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DOC 06 vai transformar este placar em objetivos e resultados-chave (OKRs), incluindo metas quantitativas por KPI crítico, resultados-chave de monetização, separação gerencial, padrão sell-ready, capacidade intelectual e liderança.</w:t>
      </w:r>
    </w:p>
    <w:p>
      <w:pPr>
        <w:spacing w:after="200"/>
      </w:pPr>
    </w:p>
    <w:p>
      <w:pPr>
        <w:pBdr>
          <w:top w:val="single" w:color="2980B9" w:sz="6" w:space="8"/>
        </w:pBdr>
        <w:spacing w:after="120" w:before="200"/>
      </w:pPr>
      <w:r>
        <w:rPr>
          <w:rFonts w:ascii="Calibri Light" w:cs="Calibri Light" w:eastAsia="Calibri Light" w:hAnsi="Calibri Light"/>
          <w:color w:val="0C2340"/>
          <w:sz w:val="28"/>
          <w:szCs w:val="28"/>
        </w:rPr>
        <w:t xml:space="preserve">Conclusão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Placar Institucional 2026 foi desenhado para ser enxuto e decisivo: protege o negócio por limites de segurança, mede avanço real por pilar e trata a monetização da base contratual como mecanismo central do ano. A revisão v2.0 preservou a estrutura integralmente e incorporou três calibrações: risco regulatório especificado em P1.KPI-03 (Res. 9.035 → 10.402), donos de P2 ajustados para refletir Comercial como área em criação, e donos de P4 ajustados para modelo Direção + consultorias. Com donos definidos, fonte e cadência, o placar é ferramenta de gestão — não relatório.</w:t>
      </w:r>
    </w:p>
    <w:p>
      <w:pPr>
        <w:spacing w:after="200"/>
      </w:pP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/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Placar institucional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Conjunto oficial de indicadores que orienta gestão e correção de rota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Guardrails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Indicadores que não podem deteriorar sem correção (margem, caixa, qualidade, saúde)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KPI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Métrica que explica resultado e orienta decisão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Cadência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Periodicidade oficial de acompanhamento (semanal, mensal, trimestral)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Run-rate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Vazão de execução por período (ha/semana, ha/mês)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Previsão 30/60/90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Estimativa de demanda e execução para 30/60/90 dias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Idade do saldo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Tempo sem execução relevante por contrato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P&amp;L gerencial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Leitura de resultado por unidade (Aero e Techdengue)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Sala de situação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Rito intensivo e temporário para destravar tema crítico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tabs>
        <w:tab w:val="right" w:pos="9026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Confidencial — Uso interno da Direção</w:t>
    </w:r>
    <w:r>
      <w:rPr>
        <w:rFonts w:ascii="Calibri" w:cs="Calibri" w:eastAsia="Calibri" w:hAnsi="Calibri"/>
        <w:sz w:val="14"/>
        <w:szCs w:val="14"/>
      </w:rPr>
      <w:t xml:space="preserve">	</w:t>
    </w:r>
    <w:r>
      <w:rPr>
        <w:rFonts w:ascii="Calibri" w:cs="Calibri" w:eastAsia="Calibri" w:hAnsi="Calibri"/>
        <w:color w:val="94A3B8"/>
        <w:sz w:val="14"/>
        <w:szCs w:val="14"/>
      </w:rPr>
      <w:t xml:space="preserve">Página </w:t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4A3B8" w:sz="2" w:space="4"/>
      </w:pBdr>
    </w:pPr>
    <w:r>
      <w:rPr>
        <w:rFonts w:ascii="Calibri" w:cs="Calibri" w:eastAsia="Calibri" w:hAnsi="Calibri"/>
        <w:color w:val="94A3B8"/>
        <w:sz w:val="16"/>
        <w:szCs w:val="16"/>
      </w:rPr>
      <w:t xml:space="preserve">PE 2026</w:t>
    </w:r>
    <w:r>
      <w:rPr>
        <w:rFonts w:ascii="Calibri" w:cs="Calibri" w:eastAsia="Calibri" w:hAnsi="Calibri"/>
        <w:color w:val="94A3B8"/>
        <w:sz w:val="16"/>
        <w:szCs w:val="16"/>
      </w:rPr>
      <w:t xml:space="preserve">  |  DOC 05 — Placar Institucional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2026-02-27T22:47:56.678Z</dcterms:created>
  <dcterms:modified xsi:type="dcterms:W3CDTF">2026-02-27T22:47:56.679Z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