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980B9" w:sz="8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56"/>
          <w:szCs w:val="56"/>
        </w:rPr>
        <w:t xml:space="preserve">PE 2026</w:t>
      </w:r>
    </w:p>
    <w:p>
      <w:pPr>
        <w:spacing w:after="200"/>
      </w:pPr>
      <w:r>
        <w:rPr>
          <w:rFonts w:ascii="Calibri Light" w:cs="Calibri Light" w:eastAsia="Calibri Light" w:hAnsi="Calibri Light"/>
          <w:color w:val="2980B9"/>
          <w:sz w:val="36"/>
          <w:szCs w:val="36"/>
        </w:rPr>
        <w:t xml:space="preserve">DOC 06 — OKRs Corporativos 2026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Objetivos e Resultados-Chave (Aero + Techdengue)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Empresa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Aero Engenharia + Techdengue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1.1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B2 — Ajuste de OKRs e Metas (REVISÃO CRÍTICA)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Recalibração de timelines, áreas condicionais e consistência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LC-03, LC-06, Cal.#4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Nota de revisão v2.0 (CRÍTICA):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Este documento passou por recalibração substancial. Principais ajustes: (1) LC-03 — KRs com datas fev/mar recalibrados para prazos realistas a partir da data atual (fev/2026); (2) LC-06 — Comercial tratado como área em criação em todos os KRs; (3) Cal.#4 — OKR-P4 ajustado para modelo Direção + consultorias. A ambição dos OKRs foi preservada; apenas os prazos e pré-condições foram calibrados para a realidade de fevereiro/2026.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Regras de uso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1.1 O que este documento é (e o que não é)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É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 conjunto de metas corporativas que orienta toda a empresa em 2026.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Não é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uma lista de tarefas. As tarefas virão como iniciativas (INIT-*) e serão geridas pela carteira (DOC 08/09).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1.2 Cadência de gestão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WBR (semanal):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andamento, vazão, impedimentos e decisões rápidas.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MBR (mensal):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consolidação, causas-raiz, correções de rota.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QBR (trimestral):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revisão de tese, prioridades e decisões estruturais.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1.3 Regra de qualidade do KR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Um resultado-chave só é considerado “cumprido” quando há número (métrica) ou marco verificável, existe evidência registrada (EVID-*), e existe responsável definido no desdobramento por área.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disciplina: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 KR pode “andar” sem estar “cumprido”; mas só “fecha” quando há evidência. Isso protege a governança e evita progresso “por narrativa”.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e lógica dos OKRs corporativos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2026 terá 5 OKRs corporativos alinhados aos pilares institucionais (P1–P5). O eixo crítico — monetização — atravessa P2/P3/P4, mas permanece como prioridade nº 1 de execução no Q1.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Diretriz executiva: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 P2 falhar, o restante vira discurso bem escrito. P2 “puxa” capacidade no Q1 e guia decisões de priorização.</w:t>
            </w:r>
          </w:p>
        </w:tc>
      </w:tr>
    </w:tbl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OKR-P1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Governança, Separação Aero × Techdengue e Padrão de Empresa Auditável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transformar o grupo em uma operação com fronteiras claras por unidade e disciplina de gestão compatível com auditoria e diligência, preparando o caminho do spin-off e do Techdengue em padrão transacionável.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P1.1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Apuração gerencial por unidade (P&amp;L) implantada e operante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Fechamento mensal publicado até o dia 10, de mar/2026 a dez/2026.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Mar/2026 (primeiro fechamento) → dez/2026 (recorrência)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P1.2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Centros de custo e alçadas de decisão formalizados e em uso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Despesas, contratações e investimentos com registro de decisões (DEC-*) ativo.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Mar/2026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fev/2026 — ajuste para viabilizar implementação)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P1.3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Registro de riscos (RSK-*) ativo com 100% dos riscos críticos mapeados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Donos definidos e revisão mensal (MBR).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Mar/2026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P1.4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Trilha de evidências (EVID-*) operante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dos KRs corporativos com evidência registrada ao fechamento de cada trimestre.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Q1/Q2/Q3/Q4 (cadenciado)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P1.5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Modelo de separação por fases definido e aprovado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Fronteiras operacionais, papéis e rotinas entre Aero e Techdengue. Versão 1.0 formalizada.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Abr/2026</w:t>
            </w:r>
          </w:p>
        </w:tc>
      </w:tr>
    </w:tbl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OKR-P2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Crescimento com Tese e Monetização da Base Contratual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transformar base contratual em execução e caixa com previsibilidade, preservando relação institucional e criando método de ativação de demanda — sem depender de urgência do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Motor do ano.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empresa não “cresce” se não consegue converter base contratual em execução real.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P2.1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Executar no mínimo 50.438 ha no Q1/2026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Garantir vazão para reduzir risco de janela e elevar execução acumulada para ~85%.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31/mar/2026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P2.2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Reduzir saldo a executar de 88.348,85 ha para ≤ 37.910,85 ha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Por execução e ativação estruturada. Evidência no relatório de fechamento do trimestre.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31/mar/2026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P2.3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Sala de Situação do Q1 (war room) operante semanalmente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100% do Pareto Top-14 com: (i) responsável definido, (ii) plano de ativação 7/14/30, (iii) previsão 30/60/90, (iv) evidência de contato/agenda registrada.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Operante desde fev/2026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(confirmado — war room já em execução)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P2.4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Reduzir participação do saldo em “Baixa Execução” de ~42,7% para ≤ 25%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ativo por contratante prioritário com registro de destravamentos.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30/jun/2026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P2.5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Aumentar taxa de ativação de demanda no Pareto Top-14 para ≥ 70%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Contratantes com execução no período, comprovado por execução e agenda registrada.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Q2/2026 (abr–jun), mês a mês</w:t>
            </w:r>
          </w:p>
        </w:tc>
      </w:tr>
    </w:tbl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OKR-P3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Escala Operacional com Margem, Qualidade e Prontidão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sustentar execução acelerada sem perder margem nem reputação, com previsibilidade de capacidade e redução de retrabalho.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P3.1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Manter margem operacional anual ≥ 30%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Limite de segurança (guardrail). Leitura mensal no MBR com correções registradas.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Anual (leitura mensal)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P3.2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Implantar planejamento semanal de capacidade no Q1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Agenda, recursos, gargalos e absorção de picos. Semanas de mar/2026 registradas e revisadas (WBR).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Mar/2026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fev/2026 — registros retroativos de fev serão incorporados)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P3.3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Reduzir retrabalho operacional em 20%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Medido por índice interno padronizado.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Baseline a ser fechado até mar/2026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fev).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30/jun/2026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P3.4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Estabelecer padrão mínimo de qualidade e entrega (SLA)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Aderência ≥ 90% a partir de abr/2026.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Abr/2026 (início) → dez/2026 (maturação)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P3.5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Integração formal Operação ↔ CS ↔ Dados (+ Comercial quando ativado)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Pontos de passagem definidos e aplicados, eliminando vazios nas entregas do Pareto Top-14. 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Comercial integra esta interface quando a área estiver estruturada.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Abr/2026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mar — sem Comercial, interface é Op↔CS↔Dados↔Direção)</w:t>
            </w:r>
          </w:p>
        </w:tc>
      </w:tr>
    </w:tbl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OKR-P4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Produto, Dados e IA como Vantagem Defensável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transformar evidência e inteligência em ferramenta de ativação de demanda, retenção e diferenciação técnica, elevando o valor do Techdengue como 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E8C6B" w:sz="12"/>
              <w:bottom w:val="none" w:sz="0"/>
              <w:right w:val="none" w:sz="0"/>
            </w:tcBorders>
            <w:shd w:fill="EBF5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Modelo operacional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P&amp;D opera via Direção Executiva + consultorias sob demanda. Todos os KRs de P4 dependem de coordenação da Direção com fornecedores especializados. Não há equipe formal P&amp;D dedicada em 2026.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P4.1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Pacote de Evidências por contratante Pareto Top-14 entregue mensalmente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Prova de valor, indicadores, mapa/insights e próximos passos. Devolutiva do cliente em ≥ 70% dos casos.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Mar–jun/2026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fev — primeiro pacote completo em mar)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P4.2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Padronizar relatório executivo de prova de valor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Publicar versão 1.0 e garantir uso recorrente por CS. </w:t>
            </w:r>
            <w:r>
              <w:rPr>
                <w:rFonts w:ascii="Calibri" w:cs="Calibri" w:eastAsia="Calibri" w:hAnsi="Calibri"/>
                <w:i/>
                <w:iCs/>
                <w:color w:val="334155"/>
                <w:sz w:val="17"/>
                <w:szCs w:val="17"/>
              </w:rPr>
              <w:t xml:space="preserve">Comercial utiliza quando área estiver ativa.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Mar/2026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fev — ajuste para viabilizar produção e validação)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P4.3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Painel de gestão da monetização operante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Saldo, vazão, previsão 30/60/90, idade do saldo e status Pareto. Mesmo que versão inicial.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Abr/2026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mar — permite iteração sobre versão beta)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P4.4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Fechar baseline de uso do produto e melhorar ≥ 15%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Métricas mínimas de adoção e valor percebido.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Baseline até abr/2026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mar). Meta final: dez/2026.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P4.5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Implantar pelo menos 2 frentes de automação/IA aplicada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Ganho operacional mensurável (tempo, custo ou qualidade), com medição e evidência.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Set/2026</w:t>
            </w:r>
          </w:p>
        </w:tc>
      </w:tr>
    </w:tbl>
    <w:p>
      <w:r>
        <w:br w:type="page"/>
      </w:r>
    </w:p>
    <w:p>
      <w:pPr>
        <w:pBdr>
          <w:bottom w:val="single" w:color="0E8C6B" w:sz="4" w:space="4"/>
        </w:pBdr>
        <w:spacing w:after="160" w:before="300"/>
      </w:pPr>
      <w:r>
        <w:rPr>
          <w:rFonts w:ascii="Calibri Light" w:cs="Calibri Light" w:eastAsia="Calibri Light" w:hAnsi="Calibri Light"/>
          <w:b/>
          <w:bCs/>
          <w:color w:val="0E8C6B"/>
          <w:sz w:val="28"/>
          <w:szCs w:val="28"/>
        </w:rPr>
        <w:t xml:space="preserve">OKR-P5 — </w:t>
      </w: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Densidade Intelectual, Liderança e Capacidade Humana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elevar capacidade de liderança e densidade intelectual do time para sustentar crescimento, reduzir ruído de gestão e garantir execução com método.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P5.1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Turnover anual ≤ 35%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Leitura mensal por área e plano ativo de retenção para funções críticas.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Anual (leitura mensal)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P5.2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Engajamento ≥ 85% na próxima medição oficial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Plano específico para gaps 2025: comunicação de decisões, colaboração entre equipes, onboarding e reconhecimento.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Próxima medição (data a definir pela Direção)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P5.3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Implantar rituais mínimos de liderança e gestão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Agenda de comunicação, 1:1, metas claras e acompanhamento. Aderência ≥ 85%.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Jun/2026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2980B9" w:sz="6"/>
              <w:bottom w:val="single" w:color="2980B9" w:sz="2"/>
              <w:right w:val="none" w:sz="0"/>
            </w:tcBorders>
            <w:shd w:fill="E8F0F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P5.4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Preencher posições-chave críticas de 2026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≥ 80% ocupadas. </w:t>
            </w:r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Prioridade: COO/Diretor de Operações + liderança Comercial.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30/jun/2026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none" w:sz="0"/>
              <w:left w:val="single" w:color="B8860B" w:sz="6"/>
              <w:bottom w:val="single" w:color="2980B9" w:sz="2"/>
              <w:right w:val="none" w:sz="0"/>
            </w:tcBorders>
            <w:shd w:fill="FFF8E1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980B9"/>
                <w:sz w:val="19"/>
                <w:szCs w:val="19"/>
              </w:rPr>
              <w:t xml:space="preserve">KR P5.5  </w:t>
            </w:r>
            <w:r>
              <w:rPr>
                <w:rFonts w:ascii="Calibri" w:cs="Calibri" w:eastAsia="Calibri" w:hAnsi="Calibri"/>
                <w:b/>
                <w:bCs/>
                <w:color w:val="0C2340"/>
                <w:sz w:val="19"/>
                <w:szCs w:val="19"/>
              </w:rPr>
              <w:t xml:space="preserve">Onboarding estruturado e mensurável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  [RECALIBRADO]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Meta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line="252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Processo e checklist padrão criados, com baseline e evolução monitorada.</w:t>
            </w:r>
          </w:p>
        </w:tc>
      </w:tr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Prazo</w:t>
            </w:r>
          </w:p>
        </w:tc>
        <w:tc>
          <w:tcPr>
            <w:tcW w:type="dxa" w:w="796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7"/>
                <w:szCs w:val="17"/>
              </w:rPr>
              <w:t xml:space="preserve">Abr/2026</w:t>
            </w: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 (recalibrado de mar — contratações Q1 servem como piloto)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Amarrações entre OKRs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P2 (monetização)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depende diretamente de P3 (capacidade e qualidade) e de P4 (evidência/prova de valor).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P1 (governança)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é pré-condição para separar unidades sem confusão, e para Techdengue operar em padrão auditável.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P5 (capacidade humana)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sustenta todos os demais — sem densidade intelectual, o sistema degrada para “apagar incêndio”.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Diretrizes para desdobramento por áreas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Regra de ouro: cada área terá 2 a 4 OKRs, no máximo. Todo KR de área precisa de vínculo explícito com pelo menos 1 KR corporativo. Iniciativas (INIT-*) e evidências (EVID-*) serão registradas e cobradas em cadência.</w:t>
      </w:r>
    </w:p>
    <w:p>
      <w:pPr>
        <w:spacing w:after="4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Áreas a desdobrar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fev/2026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OKRs primários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Marketing (MKT)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P2, P4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Recursos Humanos (RH)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P5, P1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Produto / Dados / P&amp;D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8"/>
                <w:szCs w:val="18"/>
              </w:rPr>
              <w:t xml:space="preserve">Via Direção + consultorias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P2, P3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ÁREA EM CRIAÇÃO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 (ativação condicional)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/ Relacionamento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P2, P3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Ativo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P1, P3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recalibrações v1.1 → v2.0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consolidado de todos os ajustes aplicados nesta revisão, com justificativa: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tblHeader/>
        </w:trPr>
        <w:tc>
          <w:tcPr>
            <w:tcW w:type="dxa" w:w="1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v1.1 (jan/2026)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v2.0 (fev/2026)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P1.2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 já vencida; ajuste para implementação real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 partir de fev/2026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Operante desde fev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 já em execução — confirma status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Fev–mar registradas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 registradas + retroativo fev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retroativo viabiliza histórico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P3.3 baseline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Baseline exige estabilização de métrica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 c/ Comercial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 s/ Comercial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LC-06: Comercial não existe; interface ajustada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P4.1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Fev–mar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Mar–jun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Primeiro pacote completo em mar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P4.2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Viabilizar produção e validação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P4.3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Permitir iteração sobre versão beta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P4.4 baseline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Depende de P4.1/P4.2 estabilizados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P5.5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Contratações Q1 servem como piloto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 (todos)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Dono: P&amp;D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Dono: Direção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Cal.#4: sem equipe P&amp;D formal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P3.5/P2 donos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Inclui Comercial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Comercial</w:t>
            </w:r>
          </w:p>
        </w:tc>
        <w:tc>
          <w:tcPr>
            <w:tcW w:type="dxa" w:w="29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LC-06: área em criação</w:t>
            </w:r>
          </w:p>
        </w:tc>
      </w:tr>
    </w:tbl>
    <w:p>
      <w:pPr>
        <w:spacing w:after="200"/>
      </w:pPr>
    </w:p>
    <w:p>
      <w:pPr>
        <w:pBdr>
          <w:top w:val="single" w:color="2980B9" w:sz="6" w:space="8"/>
        </w:pBdr>
        <w:spacing w:after="120" w:before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Conclusão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Os OKRs corporativos 2026 colocam o foco onde está o jogo: converter base contratual em execução e caixa com método e cadência; separar Aero e Techdengue com disciplina gerencial; sustentar escala com margem e qualidade; transformar dados, produto e IA em prova de valor; e elevar densidade intelectual para que a empresa opere por gestão. A revisão v2.0 recalibrou 10 prazos de KRs para a realidade de fevereiro/2026, ajustou donos para refletir áreas condicionais (Comercial em criação, P&amp;D via Direção + consultorias) e preservou integralmente a ambição estratégica. A partir daqui, a organização trabalha com metas verificáveis, responsáveis claros e evidências registradas.</w:t>
      </w:r>
    </w:p>
    <w:p>
      <w:pPr>
        <w:spacing w:after="200"/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/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Método de gestão: objetivo qualitativo + resultados-chave mensuráveis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 (Key Result)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Métrica ou marco verificável que comprova avanço real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P&amp;L gerencial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Leitura de resultado por unidade (Aero e Techdengue)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Pareto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Foco nos poucos itens com maior impacto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de execução por período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intensivo para destravar tema crítico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EVID-*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documentada de avanço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DEC-*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formal de decisões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Sell-ready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Padrão de controles compatível com auditoria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Moat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Diferencial difícil de copiar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2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DOC 06 — OKRs Corporativos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2026-02-28T00:18:04.721Z</dcterms:created>
  <dcterms:modified xsi:type="dcterms:W3CDTF">2026-02-28T00:18:04.723Z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