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980B9" w:sz="8" w:space="8"/>
        </w:pBdr>
        <w:spacing w:after="0" w:before="0"/>
      </w:pPr>
    </w:p>
    <w:p>
      <w:pPr>
        <w:spacing w:after="80" w:before="200"/>
        <w:jc w:val="both"/>
      </w:pPr>
      <w:r>
        <w:rPr>
          <w:rFonts w:ascii="Calibri Light" w:cs="Calibri Light" w:eastAsia="Calibri Light" w:hAnsi="Calibri Light"/>
          <w:color w:val="94A3B8"/>
          <w:sz w:val="14"/>
          <w:szCs w:val="14"/>
        </w:rPr>
        <w:t xml:space="preserve">PE 2026</w:t>
      </w:r>
    </w:p>
    <w:p>
      <w:pPr>
        <w:spacing w:after="80" w:before="120"/>
        <w:jc w:val="both"/>
      </w:pPr>
      <w:r>
        <w:rPr>
          <w:rFonts w:ascii="Calibri Light" w:cs="Calibri Light" w:eastAsia="Calibri Light" w:hAnsi="Calibri Light"/>
          <w:color w:val="0C2340"/>
          <w:sz w:val="48"/>
          <w:szCs w:val="48"/>
        </w:rPr>
        <w:t xml:space="preserve">Metas 2026 e Cenários</w:t>
      </w:r>
    </w:p>
    <w:p>
      <w:pPr>
        <w:spacing w:after="200" w:before="80"/>
        <w:jc w:val="both"/>
      </w:pPr>
      <w:r>
        <w:rPr>
          <w:rFonts w:ascii="Calibri Light" w:cs="Calibri Light" w:eastAsia="Calibri Light" w:hAnsi="Calibri Light"/>
          <w:color w:val="64748B"/>
          <w:sz w:val="22"/>
          <w:szCs w:val="22"/>
        </w:rPr>
        <w:t xml:space="preserve">Projeções de receita, cenários de margem, gatilhos de decisão e contingência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00"/>
      </w:tblGrid>
      <w:tr>
        <w:tc>
          <w:tcPr>
            <w:tcW w:type="dxa" w:w="3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Versão</w:t>
            </w:r>
          </w:p>
        </w:tc>
        <w:tc>
          <w:tcPr>
            <w:tcW w:type="dxa" w:w="6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2.0 (revisão fev/2026)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Versão anterior</w:t>
            </w:r>
          </w:p>
        </w:tc>
        <w:tc>
          <w:tcPr>
            <w:tcW w:type="dxa" w:w="6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1.1 (15/jan/2026)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Bloco de origem</w:t>
            </w:r>
          </w:p>
        </w:tc>
        <w:tc>
          <w:tcPr>
            <w:tcW w:type="dxa" w:w="6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B2 + B4 — Ajuste de OKRs, Metas e Camada Financeira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Ação</w:t>
            </w:r>
          </w:p>
        </w:tc>
        <w:tc>
          <w:tcPr>
            <w:tcW w:type="dxa" w:w="6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RECONSTRUÇÃO — conteúdo realinhado ao propósito do documento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Lacunas endereçadas</w:t>
            </w:r>
          </w:p>
        </w:tc>
        <w:tc>
          <w:tcPr>
            <w:tcW w:type="dxa" w:w="6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LC-01 (parcial), LC-08, LR-02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Cláudio Ribeiro — Direção Executiva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Confidencial — Uso interno da Direção</w:t>
            </w:r>
          </w:p>
        </w:tc>
      </w:tr>
    </w:tbl>
    <w:p>
      <w:r>
        <w:br w:type="page"/>
      </w:r>
    </w:p>
    <w:p>
      <w:pPr>
        <w:pBdr>
          <w:left w:val="single" w:color="C0392B" w:sz="12" w:space="8"/>
        </w:pBdr>
        <w:shd w:fill="FDE8E8" w:val="clear"/>
        <w:spacing w:after="160" w:before="160"/>
      </w:pPr>
      <w:r>
        <w:rPr>
          <w:rFonts w:ascii="Calibri" w:cs="Calibri" w:eastAsia="Calibri" w:hAnsi="Calibri"/>
          <w:b/>
          <w:bCs/>
          <w:color w:val="C0392B"/>
          <w:sz w:val="18"/>
          <w:szCs w:val="18"/>
        </w:rPr>
        <w:t xml:space="preserve">🔴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Nota de revisão v2.0 (RECONSTRUÇÃO): O DOC 07 v1.1 continha conteúdo de estrutura organizacional, papéis e governança — matéria do DOC 03. O título "Metas 2026 e Cenários" não correspondia ao conteúdo. Esta v2.0 reconstrói o documento com seu propósito correto: cenários de receita, projeções trimestrais, cenários de margem e gatilhos de decisão. Conteúdo organizacional preservado no DOC 03 v2.</w:t>
      </w:r>
    </w:p>
    <w:p>
      <w:pPr>
        <w:pBdr>
          <w:bottom w:val="single" w:color="2980B9" w:sz="3" w:space="4"/>
        </w:pBdr>
        <w:spacing w:after="160" w:before="360"/>
      </w:pP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Sumário</w:t>
      </w:r>
    </w:p>
    <w:p>
      <w:pPr>
        <w:tabs>
          <w:tab w:val="right" w:pos="8800" w:leader="dot"/>
        </w:tabs>
        <w:spacing w:after="40" w:before="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1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Base financeira 2025 (referência)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3</w:t>
      </w:r>
    </w:p>
    <w:p>
      <w:pPr>
        <w:tabs>
          <w:tab w:val="right" w:pos="8800" w:leader="dot"/>
        </w:tabs>
        <w:spacing w:after="40" w:before="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2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Premissas estruturantes para 2026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3</w:t>
      </w:r>
    </w:p>
    <w:p>
      <w:pPr>
        <w:tabs>
          <w:tab w:val="right" w:pos="8800" w:leader="dot"/>
        </w:tabs>
        <w:spacing w:after="40" w:before="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3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Cenários de receita 2026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4</w:t>
      </w:r>
    </w:p>
    <w:p>
      <w:pPr>
        <w:tabs>
          <w:tab w:val="right" w:pos="8800" w:leader="dot"/>
        </w:tabs>
        <w:spacing w:after="40" w:before="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4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Projeção trimestral por cenário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5</w:t>
      </w:r>
    </w:p>
    <w:p>
      <w:pPr>
        <w:tabs>
          <w:tab w:val="right" w:pos="8800" w:leader="dot"/>
        </w:tabs>
        <w:spacing w:after="40" w:before="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5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Metas por unidade de negócio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6</w:t>
      </w:r>
    </w:p>
    <w:p>
      <w:pPr>
        <w:tabs>
          <w:tab w:val="right" w:pos="8800" w:leader="dot"/>
        </w:tabs>
        <w:spacing w:after="40" w:before="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6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Cenários de margem e resultado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7</w:t>
      </w:r>
    </w:p>
    <w:p>
      <w:pPr>
        <w:tabs>
          <w:tab w:val="right" w:pos="8800" w:leader="dot"/>
        </w:tabs>
        <w:spacing w:after="40" w:before="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7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Impacto das contratações prioritárias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8</w:t>
      </w:r>
    </w:p>
    <w:p>
      <w:pPr>
        <w:tabs>
          <w:tab w:val="right" w:pos="8800" w:leader="dot"/>
        </w:tabs>
        <w:spacing w:after="40" w:before="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8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Gatilhos de decisão e contingência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8</w:t>
      </w:r>
    </w:p>
    <w:p>
      <w:pPr>
        <w:tabs>
          <w:tab w:val="right" w:pos="8800" w:leader="dot"/>
        </w:tabs>
        <w:spacing w:after="40" w:before="4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9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Rastreabilidade com OKRs corporativos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dot"/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9</w:t>
      </w:r>
    </w:p>
    <w:p>
      <w:r>
        <w:br w:type="page"/>
      </w:r>
    </w:p>
    <w:p>
      <w:pPr>
        <w:pBdr>
          <w:bottom w:val="single" w:color="2980B9" w:sz="3" w:space="4"/>
        </w:pBdr>
        <w:spacing w:after="160" w:before="3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Base financeira 2025 (referência)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realizado 2025 é a única base validada para construção de cenários 2026. Os números abaixo foram fechados em dezembro/2025 e auditados pela controladoria.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28"/>
                <w:szCs w:val="28"/>
              </w:rPr>
              <w:t xml:space="preserve">R$ 10,3M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RECEITA CONSOLIDADA</w:t>
            </w:r>
          </w:p>
        </w:tc>
        <w:tc>
          <w:tcPr>
            <w:tcW w:type="dxa" w:w="2275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8C6B"/>
                <w:sz w:val="28"/>
                <w:szCs w:val="28"/>
              </w:rPr>
              <w:t xml:space="preserve">34,3%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MARGEM OPERACIONAL</w:t>
            </w:r>
          </w:p>
        </w:tc>
        <w:tc>
          <w:tcPr>
            <w:tcW w:type="dxa" w:w="2275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28"/>
                <w:szCs w:val="28"/>
              </w:rPr>
              <w:t xml:space="preserve">R$ 6,78M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DESPESAS OPERACIONAIS</w:t>
            </w:r>
          </w:p>
        </w:tc>
        <w:tc>
          <w:tcPr>
            <w:tcW w:type="dxa" w:w="2275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980B9"/>
                <w:sz w:val="28"/>
                <w:szCs w:val="28"/>
              </w:rPr>
              <w:t xml:space="preserve">+84,8%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CRESCIMENTO YoY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1.1 Composição de receita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1600"/>
        <w:gridCol w:w="240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Unidade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Receita 2025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Total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Crescimento YoY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Techdengue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R$ 9.430.537</w:t>
            </w:r>
          </w:p>
        </w:tc>
        <w:tc>
          <w:tcPr>
            <w:tcW w:type="dxa" w:w="1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91,3%</w:t>
            </w:r>
          </w:p>
        </w:tc>
        <w:tc>
          <w:tcPr>
            <w:tcW w:type="dxa" w:w="2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+92,9%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Aero Engenharia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R$ 893.141</w:t>
            </w:r>
          </w:p>
        </w:tc>
        <w:tc>
          <w:tcPr>
            <w:tcW w:type="dxa" w:w="1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8,7%</w:t>
            </w:r>
          </w:p>
        </w:tc>
        <w:tc>
          <w:tcPr>
            <w:tcW w:type="dxa" w:w="2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+28,0%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Consolidado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R$ 10.323.678</w:t>
            </w:r>
          </w:p>
        </w:tc>
        <w:tc>
          <w:tcPr>
            <w:tcW w:type="dxa" w:w="1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+84,8%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1.2 Indicadores operacionais Techdengue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100"/>
      </w:tblGrid>
      <w:tr>
        <w:tc>
          <w:tcPr>
            <w:tcW w:type="dxa" w:w="50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41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2025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Contratos ativos</w:t>
            </w:r>
          </w:p>
        </w:tc>
        <w:tc>
          <w:tcPr>
            <w:tcW w:type="dxa" w:w="4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66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Hectares mapeados</w:t>
            </w:r>
          </w:p>
        </w:tc>
        <w:tc>
          <w:tcPr>
            <w:tcW w:type="dxa" w:w="4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117.367 ha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Preço médio/ha</w:t>
            </w:r>
          </w:p>
        </w:tc>
        <w:tc>
          <w:tcPr>
            <w:tcW w:type="dxa" w:w="4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R$ 80,35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Ticket médio por contrato</w:t>
            </w:r>
          </w:p>
        </w:tc>
        <w:tc>
          <w:tcPr>
            <w:tcW w:type="dxa" w:w="4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R$ 142.887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Medições realizadas</w:t>
            </w:r>
          </w:p>
        </w:tc>
        <w:tc>
          <w:tcPr>
            <w:tcW w:type="dxa" w:w="4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288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Produtividade média</w:t>
            </w:r>
          </w:p>
        </w:tc>
        <w:tc>
          <w:tcPr>
            <w:tcW w:type="dxa" w:w="4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479 ha/dia útil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Capacidade ociosa</w:t>
            </w:r>
          </w:p>
        </w:tc>
        <w:tc>
          <w:tcPr>
            <w:tcW w:type="dxa" w:w="4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42,6%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1.3 Estrutura de despesas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700"/>
        <w:gridCol w:w="2400"/>
      </w:tblGrid>
      <w:tr>
        <w:tc>
          <w:tcPr>
            <w:tcW w:type="dxa" w:w="40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Centro de custo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Real 2025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Total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Investimentos e Infraestrutura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R$ 1.106K</w:t>
            </w:r>
          </w:p>
        </w:tc>
        <w:tc>
          <w:tcPr>
            <w:tcW w:type="dxa" w:w="2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16,3%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Tributação e Obrigações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R$ 1.087K</w:t>
            </w:r>
          </w:p>
        </w:tc>
        <w:tc>
          <w:tcPr>
            <w:tcW w:type="dxa" w:w="2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16,0%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Operações e Entrega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R$ 965K</w:t>
            </w:r>
          </w:p>
        </w:tc>
        <w:tc>
          <w:tcPr>
            <w:tcW w:type="dxa" w:w="2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14,2%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Comercial e Novos Mercados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R$ 905K</w:t>
            </w:r>
          </w:p>
        </w:tc>
        <w:tc>
          <w:tcPr>
            <w:tcW w:type="dxa" w:w="2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13,4%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Despesas Estratégicas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R$ 639K</w:t>
            </w:r>
          </w:p>
        </w:tc>
        <w:tc>
          <w:tcPr>
            <w:tcW w:type="dxa" w:w="2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9,4%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Marketing e Comunicação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R$ 581K</w:t>
            </w:r>
          </w:p>
        </w:tc>
        <w:tc>
          <w:tcPr>
            <w:tcW w:type="dxa" w:w="2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8,6%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P&amp;D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R$ 512K</w:t>
            </w:r>
          </w:p>
        </w:tc>
        <w:tc>
          <w:tcPr>
            <w:tcW w:type="dxa" w:w="2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7,5%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RH / Pessoas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R$ 439K</w:t>
            </w:r>
          </w:p>
        </w:tc>
        <w:tc>
          <w:tcPr>
            <w:tcW w:type="dxa" w:w="2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6,5%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Administração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R$ 316K</w:t>
            </w:r>
          </w:p>
        </w:tc>
        <w:tc>
          <w:tcPr>
            <w:tcW w:type="dxa" w:w="2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4,7%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Gestão Financeira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R$ 229K</w:t>
            </w:r>
          </w:p>
        </w:tc>
        <w:tc>
          <w:tcPr>
            <w:tcW w:type="dxa" w:w="2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3,4%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TOTAL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R$ 6.779K</w:t>
            </w:r>
          </w:p>
        </w:tc>
        <w:tc>
          <w:tcPr>
            <w:tcW w:type="dxa" w:w="2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pBdr>
          <w:bottom w:val="single" w:color="2980B9" w:sz="3" w:space="4"/>
        </w:pBdr>
        <w:spacing w:after="160" w:before="3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Premissas estruturantes para 2026</w:t>
      </w:r>
    </w:p>
    <w:p>
      <w:pPr>
        <w:pBdr>
          <w:left w:val="single" w:color="2980B9" w:sz="12" w:space="8"/>
        </w:pBdr>
        <w:shd w:fill="EBF5FB" w:val="clear"/>
        <w:spacing w:after="160" w:before="160"/>
      </w:pPr>
      <w:r>
        <w:rPr>
          <w:rFonts w:ascii="Calibri" w:cs="Calibri" w:eastAsia="Calibri" w:hAnsi="Calibri"/>
          <w:b/>
          <w:bCs/>
          <w:color w:val="2980B9"/>
          <w:sz w:val="18"/>
          <w:szCs w:val="18"/>
        </w:rPr>
        <w:t xml:space="preserve">📋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Premissas validadas pela Direção Executiva em fevereiro/2026. Alteração requer DEC-* e atualização deste documento.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00"/>
        <w:gridCol w:w="4400"/>
      </w:tblGrid>
      <w:tr>
        <w:tc>
          <w:tcPr>
            <w:tcW w:type="dxa" w:w="4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Premissa</w:t>
            </w:r>
          </w:p>
        </w:tc>
        <w:tc>
          <w:tcPr>
            <w:tcW w:type="dxa" w:w="44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Implicação para cenários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4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Resolução SES/MG 9.035 expirou em 31/12/2025. Nova resolução em monitoramento.</w:t>
            </w:r>
          </w:p>
        </w:tc>
        <w:tc>
          <w:tcPr>
            <w:tcW w:type="dxa" w:w="4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Cenário pessimista modela não-renovação regulatória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P2</w:t>
            </w:r>
          </w:p>
        </w:tc>
        <w:tc>
          <w:tcPr>
            <w:tcW w:type="dxa" w:w="4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Base contratual é o motor de 2026 — 79,1% da receita já "travada".</w:t>
            </w:r>
          </w:p>
        </w:tc>
        <w:tc>
          <w:tcPr>
            <w:tcW w:type="dxa" w:w="4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Alta previsibilidade Q1; risco concentra Q3-Q4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P3</w:t>
            </w:r>
          </w:p>
        </w:tc>
        <w:tc>
          <w:tcPr>
            <w:tcW w:type="dxa" w:w="4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Margem ≥ 30% é guardrail (OKR-P3.1). Safety floor = 20%.</w:t>
            </w:r>
          </w:p>
        </w:tc>
        <w:tc>
          <w:tcPr>
            <w:tcW w:type="dxa" w:w="4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Cenários preservam ≥ 30%; abaixo 20% = contingência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P4</w:t>
            </w:r>
          </w:p>
        </w:tc>
        <w:tc>
          <w:tcPr>
            <w:tcW w:type="dxa" w:w="4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Contratações: COO (R$ 18-22K + perf) e liderança Comercial.</w:t>
            </w:r>
          </w:p>
        </w:tc>
        <w:tc>
          <w:tcPr>
            <w:tcW w:type="dxa" w:w="4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Despesas pessoal aumentam a partir do mês de entrada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P5</w:t>
            </w:r>
          </w:p>
        </w:tc>
        <w:tc>
          <w:tcPr>
            <w:tcW w:type="dxa" w:w="4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Aero Engenharia: 2 cenários com gatilho Q3.</w:t>
            </w:r>
          </w:p>
        </w:tc>
        <w:tc>
          <w:tcPr>
            <w:tcW w:type="dxa" w:w="4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Decisão AE conservador vs expansivo define S2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P6</w:t>
            </w:r>
          </w:p>
        </w:tc>
        <w:tc>
          <w:tcPr>
            <w:tcW w:type="dxa" w:w="4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P&amp;D via Direção + consultorias — sem equipe dedicada.</w:t>
            </w:r>
          </w:p>
        </w:tc>
        <w:tc>
          <w:tcPr>
            <w:tcW w:type="dxa" w:w="4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Investimento P&amp;D é semi-variável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P7</w:t>
            </w:r>
          </w:p>
        </w:tc>
        <w:tc>
          <w:tcPr>
            <w:tcW w:type="dxa" w:w="4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Marketing: R$ 500K feiras + R$ 100K campanha + 2 contratações.</w:t>
            </w:r>
          </w:p>
        </w:tc>
        <w:tc>
          <w:tcPr>
            <w:tcW w:type="dxa" w:w="4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Envelope MKT predefinido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P8</w:t>
            </w:r>
          </w:p>
        </w:tc>
        <w:tc>
          <w:tcPr>
            <w:tcW w:type="dxa" w:w="4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Centro de tecnologia/IA: R$ 230-370K.</w:t>
            </w:r>
          </w:p>
        </w:tc>
        <w:tc>
          <w:tcPr>
            <w:tcW w:type="dxa" w:w="4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Investimento P4 em faixa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P9</w:t>
            </w:r>
          </w:p>
        </w:tc>
        <w:tc>
          <w:tcPr>
            <w:tcW w:type="dxa" w:w="4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Recurso municipal: 100% reativo.</w:t>
            </w:r>
          </w:p>
        </w:tc>
        <w:tc>
          <w:tcPr>
            <w:tcW w:type="dxa" w:w="4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 modelado como pipeline ativo</w:t>
            </w:r>
          </w:p>
        </w:tc>
      </w:tr>
    </w:tbl>
    <w:p>
      <w:r>
        <w:br w:type="page"/>
      </w:r>
    </w:p>
    <w:p>
      <w:pPr>
        <w:pBdr>
          <w:bottom w:val="single" w:color="2980B9" w:sz="3" w:space="4"/>
        </w:pBdr>
        <w:spacing w:after="160" w:before="3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Cenários de receita 2026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Três cenários com probabilidades ponderadas, construídos sobre base contratual e premissas regulatórias.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3"/>
        <w:gridCol w:w="3033"/>
        <w:gridCol w:w="3033"/>
      </w:tblGrid>
      <w:tr>
        <w:tc>
          <w:tcPr>
            <w:tcW w:type="dxa" w:w="3033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8"/>
                <w:szCs w:val="28"/>
              </w:rPr>
              <w:t xml:space="preserve">R$ 8,31M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PESSIMISTA (15%)</w:t>
            </w:r>
          </w:p>
        </w:tc>
        <w:tc>
          <w:tcPr>
            <w:tcW w:type="dxa" w:w="3033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8C6B"/>
                <w:sz w:val="28"/>
                <w:szCs w:val="28"/>
              </w:rPr>
              <w:t xml:space="preserve">R$ 11,44M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BASE (60%)</w:t>
            </w:r>
          </w:p>
        </w:tc>
        <w:tc>
          <w:tcPr>
            <w:tcW w:type="dxa" w:w="3033"/>
            <w:tcBorders>
              <w:top w:val="none" w:sz="0"/>
              <w:left w:val="none" w:sz="0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980B9"/>
                <w:sz w:val="28"/>
                <w:szCs w:val="28"/>
              </w:rPr>
              <w:t xml:space="preserve">R$ 13,29M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OTIMISTA (25%)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3.1 Cenários consolidados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1700"/>
        <w:gridCol w:w="1600"/>
        <w:gridCol w:w="1800"/>
        <w:gridCol w:w="1800"/>
      </w:tblGrid>
      <w:tr>
        <w:tc>
          <w:tcPr>
            <w:tcW w:type="dxa" w:w="15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17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Techdengue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Aero Eng.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Consolidado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vs 2025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Pessimista</w:t>
            </w:r>
          </w:p>
        </w:tc>
        <w:tc>
          <w:tcPr>
            <w:tcW w:type="dxa" w:w="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15%</w:t>
            </w:r>
          </w:p>
        </w:tc>
        <w:tc>
          <w:tcPr>
            <w:tcW w:type="dxa" w:w="1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R$ 7,41M</w:t>
            </w:r>
          </w:p>
        </w:tc>
        <w:tc>
          <w:tcPr>
            <w:tcW w:type="dxa" w:w="1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R$ 0,90M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R$ 8,31M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-19,5%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Base</w:t>
            </w:r>
          </w:p>
        </w:tc>
        <w:tc>
          <w:tcPr>
            <w:tcW w:type="dxa" w:w="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60%</w:t>
            </w:r>
          </w:p>
        </w:tc>
        <w:tc>
          <w:tcPr>
            <w:tcW w:type="dxa" w:w="1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R$ 9,64M</w:t>
            </w:r>
          </w:p>
        </w:tc>
        <w:tc>
          <w:tcPr>
            <w:tcW w:type="dxa" w:w="1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R$ 1,80M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R$ 11,44M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+10,8%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Otimista</w:t>
            </w:r>
          </w:p>
        </w:tc>
        <w:tc>
          <w:tcPr>
            <w:tcW w:type="dxa" w:w="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25%</w:t>
            </w:r>
          </w:p>
        </w:tc>
        <w:tc>
          <w:tcPr>
            <w:tcW w:type="dxa" w:w="1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R$ 11,04M</w:t>
            </w:r>
          </w:p>
        </w:tc>
        <w:tc>
          <w:tcPr>
            <w:tcW w:type="dxa" w:w="1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R$ 2,25M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R$ 13,29M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+28,7%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Valor esperado</w:t>
            </w:r>
          </w:p>
        </w:tc>
        <w:tc>
          <w:tcPr>
            <w:tcW w:type="dxa" w:w="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R$ 9,66M</w:t>
            </w:r>
          </w:p>
        </w:tc>
        <w:tc>
          <w:tcPr>
            <w:tcW w:type="dxa" w:w="1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R$ 1,78M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R$ 11,43M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+10,7%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3.2 Premissas do cenário pessimista (R$ 8,31M)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c>
          <w:tcPr>
            <w:tcW w:type="dxa" w:w="28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Premissa</w:t>
            </w:r>
          </w:p>
        </w:tc>
        <w:tc>
          <w:tcPr>
            <w:tcW w:type="dxa" w:w="63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/ Descrição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Gatilho regulatório</w:t>
            </w:r>
          </w:p>
        </w:tc>
        <w:tc>
          <w:tcPr>
            <w:tcW w:type="dxa" w:w="6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Resolução NÃO renovada ou com atraso significativo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Hectares TD</w:t>
            </w:r>
          </w:p>
        </w:tc>
        <w:tc>
          <w:tcPr>
            <w:tcW w:type="dxa" w:w="6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92.172 ha (-21,4% vs base)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Preço médio/ha</w:t>
            </w:r>
          </w:p>
        </w:tc>
        <w:tc>
          <w:tcPr>
            <w:tcW w:type="dxa" w:w="6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R$ 80,35 (mantido)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Aero Engenharia</w:t>
            </w:r>
          </w:p>
        </w:tc>
        <w:tc>
          <w:tcPr>
            <w:tcW w:type="dxa" w:w="6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R$ 900K — manutenção dos 3 clientes atuais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Novos contratos TD</w:t>
            </w:r>
          </w:p>
        </w:tc>
        <w:tc>
          <w:tcPr>
            <w:tcW w:type="dxa" w:w="6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Praticamente zero — incerteza jurídica inibe prospecção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3.3 Premissas do cenário base (R$ 11,44M)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c>
          <w:tcPr>
            <w:tcW w:type="dxa" w:w="28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Premissa</w:t>
            </w:r>
          </w:p>
        </w:tc>
        <w:tc>
          <w:tcPr>
            <w:tcW w:type="dxa" w:w="63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/ Descrição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Gatilho regulatório</w:t>
            </w:r>
          </w:p>
        </w:tc>
        <w:tc>
          <w:tcPr>
            <w:tcW w:type="dxa" w:w="6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Resolução renovada com continuidade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Hectares TD</w:t>
            </w:r>
          </w:p>
        </w:tc>
        <w:tc>
          <w:tcPr>
            <w:tcW w:type="dxa" w:w="6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120.000 ha (+2,2% vs 2025)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Preço médio/ha</w:t>
            </w:r>
          </w:p>
        </w:tc>
        <w:tc>
          <w:tcPr>
            <w:tcW w:type="dxa" w:w="6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R$ 80,35 (mantido conservador)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Aero Engenharia</w:t>
            </w:r>
          </w:p>
        </w:tc>
        <w:tc>
          <w:tcPr>
            <w:tcW w:type="dxa" w:w="6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R$ 1,80M — dobrar com 6+ clientes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Novos contratos TD</w:t>
            </w:r>
          </w:p>
        </w:tc>
        <w:tc>
          <w:tcPr>
            <w:tcW w:type="dxa" w:w="6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R$ 1,59M em pipeline convertido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Receita travada</w:t>
            </w:r>
          </w:p>
        </w:tc>
        <w:tc>
          <w:tcPr>
            <w:tcW w:type="dxa" w:w="6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R$ 9,05M (79,1% da meta)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3.4 Premissas do cenário otimista (R$ 13,29M)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c>
          <w:tcPr>
            <w:tcW w:type="dxa" w:w="28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Premissa</w:t>
            </w:r>
          </w:p>
        </w:tc>
        <w:tc>
          <w:tcPr>
            <w:tcW w:type="dxa" w:w="63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/ Descrição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Gatilho regulatório</w:t>
            </w:r>
          </w:p>
        </w:tc>
        <w:tc>
          <w:tcPr>
            <w:tcW w:type="dxa" w:w="6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Resolução renovada + ampliação de escopo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Hectares TD</w:t>
            </w:r>
          </w:p>
        </w:tc>
        <w:tc>
          <w:tcPr>
            <w:tcW w:type="dxa" w:w="6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137.388 ha (+17,1% vs 2025)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Aero Engenharia</w:t>
            </w:r>
          </w:p>
        </w:tc>
        <w:tc>
          <w:tcPr>
            <w:tcW w:type="dxa" w:w="6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R$ 2,25M — expansão agressiva + novos setores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Upsell na base</w:t>
            </w:r>
          </w:p>
        </w:tc>
        <w:tc>
          <w:tcPr>
            <w:tcW w:type="dxa" w:w="6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Contratos com aumento de área via prova de valor</w:t>
            </w:r>
          </w:p>
        </w:tc>
      </w:tr>
    </w:tbl>
    <w:p>
      <w:r>
        <w:br w:type="page"/>
      </w:r>
    </w:p>
    <w:p>
      <w:pPr>
        <w:pBdr>
          <w:bottom w:val="single" w:color="2980B9" w:sz="3" w:space="4"/>
        </w:pBdr>
        <w:spacing w:after="160" w:before="3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Projeção trimestral por cenário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Distribuição baseada na sazonalidade 2025 e previsibilidade da base contratual. Q1 concentra maior volume pelo saldo contratual e janela sazonal.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800"/>
        <w:gridCol w:w="2200"/>
      </w:tblGrid>
      <w:tr>
        <w:tc>
          <w:tcPr>
            <w:tcW w:type="dxa" w:w="15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Trimestre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Pessimista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Otimista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Confiança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Q1/2026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R$ 3.850K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R$ 4.410K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R$ 4.850K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85% (alta)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Q2/2026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R$ 1.980K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R$ 2.380K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R$ 2.750K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60% (média)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Q3/2026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R$ 1.680K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R$ 2.060K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R$ 2.450K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45% (baixa)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Q4/2026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R$ 1.800K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R$ 2.590K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R$ 3.240K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55% (média)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Total 2026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R$ 9.310K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R$ 11.440K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R$ 13.290K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left w:val="single" w:color="B8860B" w:sz="12" w:space="8"/>
        </w:pBdr>
        <w:shd w:fill="FDF6E3" w:val="clear"/>
        <w:spacing w:after="160" w:before="160"/>
      </w:pPr>
      <w:r>
        <w:rPr>
          <w:rFonts w:ascii="Calibri" w:cs="Calibri" w:eastAsia="Calibri" w:hAnsi="Calibri"/>
          <w:b/>
          <w:bCs/>
          <w:color w:val="B8860B"/>
          <w:sz w:val="18"/>
          <w:szCs w:val="18"/>
        </w:rPr>
        <w:t xml:space="preserve">⚠️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Q3 é o trimestre de maior incerteza: sazonalidade desfavorável, dependência de novos contratos e período do gatilho Aero. Momento natural para QBR de revisão.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4.1 Composição por origem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800"/>
        <w:gridCol w:w="2100"/>
      </w:tblGrid>
      <w:tr>
        <w:tc>
          <w:tcPr>
            <w:tcW w:type="dxa" w:w="32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Meta base</w:t>
            </w:r>
          </w:p>
        </w:tc>
        <w:tc>
          <w:tcPr>
            <w:tcW w:type="dxa" w:w="21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Renovações garantidas (2025→2026)</w:t>
            </w:r>
          </w:p>
        </w:tc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R$ 7.850K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68,6%</w:t>
            </w:r>
          </w:p>
        </w:tc>
        <w:tc>
          <w:tcPr>
            <w:tcW w:type="dxa" w:w="2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Contratos plurianuais</w:t>
            </w:r>
          </w:p>
        </w:tc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R$ 1.200K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10,5%</w:t>
            </w:r>
          </w:p>
        </w:tc>
        <w:tc>
          <w:tcPr>
            <w:tcW w:type="dxa" w:w="2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Subtotal "Travado"</w:t>
            </w:r>
          </w:p>
        </w:tc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R$ 9.050K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79,1%</w:t>
            </w:r>
          </w:p>
        </w:tc>
        <w:tc>
          <w:tcPr>
            <w:tcW w:type="dxa" w:w="2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Novos contratos Techdengue</w:t>
            </w:r>
          </w:p>
        </w:tc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R$ 1.590K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13,9%</w:t>
            </w:r>
          </w:p>
        </w:tc>
        <w:tc>
          <w:tcPr>
            <w:tcW w:type="dxa" w:w="2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Expansão Aero Engenharia</w:t>
            </w:r>
          </w:p>
        </w:tc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R$ 800K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7,0%</w:t>
            </w:r>
          </w:p>
        </w:tc>
        <w:tc>
          <w:tcPr>
            <w:tcW w:type="dxa" w:w="2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Subtotal "A Conquistar"</w:t>
            </w:r>
          </w:p>
        </w:tc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R$ 2.390K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20,9%</w:t>
            </w:r>
          </w:p>
        </w:tc>
        <w:tc>
          <w:tcPr>
            <w:tcW w:type="dxa" w:w="2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Bdr>
          <w:bottom w:val="single" w:color="2980B9" w:sz="3" w:space="4"/>
        </w:pBdr>
        <w:spacing w:after="160" w:before="3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Metas por unidade de negócio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5.1 Techdengue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700"/>
      </w:tblGrid>
      <w:tr>
        <w:tc>
          <w:tcPr>
            <w:tcW w:type="dxa" w:w="32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base 2026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Referência 2025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Receita</w:t>
            </w:r>
          </w:p>
        </w:tc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R$ 9,64M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R$ 9,43M (+2,2%)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Hectares</w:t>
            </w:r>
          </w:p>
        </w:tc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120.000 ha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117.367 ha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Contratos ativos</w:t>
            </w:r>
          </w:p>
        </w:tc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70+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66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Preço médio/ha</w:t>
            </w:r>
          </w:p>
        </w:tc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≥ R$ 80/ha (piso R$ 75/ha)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R$ 80,35/ha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Taxa de renovação</w:t>
            </w:r>
          </w:p>
        </w:tc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≥ 85%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N/D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Pipeline convertido</w:t>
            </w:r>
          </w:p>
        </w:tc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&gt; 60%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57,5%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Priorizar consórcios</w:t>
            </w:r>
          </w:p>
        </w:tc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Ticket 2,85x maior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Já observado 2025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5.2 Aero Engenharia (2 cenários)</w:t>
      </w:r>
    </w:p>
    <w:p>
      <w:pPr>
        <w:pBdr>
          <w:left w:val="single" w:color="B8860B" w:sz="12" w:space="8"/>
        </w:pBdr>
        <w:shd w:fill="FDF6E3" w:val="clear"/>
        <w:spacing w:after="160" w:before="160"/>
      </w:pPr>
      <w:r>
        <w:rPr>
          <w:rFonts w:ascii="Calibri" w:cs="Calibri" w:eastAsia="Calibri" w:hAnsi="Calibri"/>
          <w:b/>
          <w:bCs/>
          <w:color w:val="B8860B"/>
          <w:sz w:val="18"/>
          <w:szCs w:val="18"/>
        </w:rPr>
        <w:t xml:space="preserve">⚠️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Aero opera em 2 cenários com gatilho de decisão no Q3/2026. Escolha depende de pipeline real, capacidade e prioridade relativa ao Techdengue.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2300"/>
        <w:gridCol w:w="2700"/>
      </w:tblGrid>
      <w:tr>
        <w:tc>
          <w:tcPr>
            <w:tcW w:type="dxa" w:w="18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Cenário A (conservador)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Cenário B (expansivo)</w:t>
            </w:r>
          </w:p>
        </w:tc>
        <w:tc>
          <w:tcPr>
            <w:tcW w:type="dxa" w:w="27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Gatilho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Receita</w:t>
            </w:r>
          </w:p>
        </w:tc>
        <w:tc>
          <w:tcPr>
            <w:tcW w:type="dxa" w:w="2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R$ 900K</w:t>
            </w:r>
          </w:p>
        </w:tc>
        <w:tc>
          <w:tcPr>
            <w:tcW w:type="dxa" w:w="2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R$ 1,80M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Pipeline Q2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Clientes</w:t>
            </w:r>
          </w:p>
        </w:tc>
        <w:tc>
          <w:tcPr>
            <w:tcW w:type="dxa" w:w="2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 (manutenção)</w:t>
            </w:r>
          </w:p>
        </w:tc>
        <w:tc>
          <w:tcPr>
            <w:tcW w:type="dxa" w:w="2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6+ (expansão)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Capacidade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2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Mínimo</w:t>
            </w:r>
          </w:p>
        </w:tc>
        <w:tc>
          <w:tcPr>
            <w:tcW w:type="dxa" w:w="2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+25% comercial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Decisão Q3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HHI</w:t>
            </w:r>
          </w:p>
        </w:tc>
        <w:tc>
          <w:tcPr>
            <w:tcW w:type="dxa" w:w="2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~4.400 (alto)</w:t>
            </w:r>
          </w:p>
        </w:tc>
        <w:tc>
          <w:tcPr>
            <w:tcW w:type="dxa" w:w="2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&lt; 2.500 (moderado)</w:t>
            </w:r>
          </w:p>
        </w:tc>
        <w:tc>
          <w:tcPr>
            <w:tcW w:type="dxa" w:w="2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Diversificação</w:t>
            </w:r>
          </w:p>
        </w:tc>
      </w:tr>
    </w:tbl>
    <w:p>
      <w:r>
        <w:br w:type="page"/>
      </w:r>
    </w:p>
    <w:p>
      <w:pPr>
        <w:pBdr>
          <w:bottom w:val="single" w:color="2980B9" w:sz="3" w:space="4"/>
        </w:pBdr>
        <w:spacing w:after="160" w:before="3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Cenários de margem e resultado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6.1 DRE projetada — cenário base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500"/>
        <w:gridCol w:w="2000"/>
      </w:tblGrid>
      <w:tr>
        <w:tc>
          <w:tcPr>
            <w:tcW w:type="dxa" w:w="36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Receita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vs 2025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Receita bruta</w:t>
            </w:r>
          </w:p>
        </w:tc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R$ 11.440K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100,0%</w:t>
            </w:r>
          </w:p>
        </w:tc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+10,8%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(-) Impostos s/ receita</w:t>
            </w:r>
          </w:p>
        </w:tc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R$ 618K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5,4%</w:t>
            </w:r>
          </w:p>
        </w:tc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(=) Receita líquida</w:t>
            </w:r>
          </w:p>
        </w:tc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R$ 10.822K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94,6%</w:t>
            </w:r>
          </w:p>
        </w:tc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+10,8%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(-) Despesas operacionais</w:t>
            </w:r>
          </w:p>
        </w:tc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R$ 8.010K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70,0%</w:t>
            </w:r>
          </w:p>
        </w:tc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+18,1%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(=) Resultado operacional</w:t>
            </w:r>
          </w:p>
        </w:tc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R$ 3.430K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30,0%</w:t>
            </w:r>
          </w:p>
        </w:tc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-3,2%</w:t>
            </w:r>
          </w:p>
        </w:tc>
      </w:tr>
    </w:tbl>
    <w:p>
      <w:pPr>
        <w:pBdr>
          <w:left w:val="single" w:color="0E8C6B" w:sz="12" w:space="8"/>
        </w:pBdr>
        <w:shd w:fill="E6F7F2" w:val="clear"/>
        <w:spacing w:after="160" w:before="160"/>
      </w:pPr>
      <w:r>
        <w:rPr>
          <w:rFonts w:ascii="Calibri" w:cs="Calibri" w:eastAsia="Calibri" w:hAnsi="Calibri"/>
          <w:b/>
          <w:bCs/>
          <w:color w:val="0E8C6B"/>
          <w:sz w:val="18"/>
          <w:szCs w:val="18"/>
        </w:rPr>
        <w:t xml:space="preserve">💡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Margem reduzida de 34,3% para 30,0% reflete decisões estratégicas: retomada P&amp;D, expansão comercial Aero, contratações. Não é perda de eficiência.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6.2 Margem por cenário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500"/>
        <w:gridCol w:w="1500"/>
        <w:gridCol w:w="1200"/>
        <w:gridCol w:w="2100"/>
      </w:tblGrid>
      <w:tr>
        <w:tc>
          <w:tcPr>
            <w:tcW w:type="dxa" w:w="13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Receita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Despesas*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Margem</w:t>
            </w:r>
          </w:p>
        </w:tc>
        <w:tc>
          <w:tcPr>
            <w:tcW w:type="dxa" w:w="21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Pessimista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R$ 8,31M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R$ 6,80M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R$ 1,51M</w:t>
            </w:r>
          </w:p>
        </w:tc>
        <w:tc>
          <w:tcPr>
            <w:tcW w:type="dxa" w:w="1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18,2%</w:t>
            </w:r>
          </w:p>
        </w:tc>
        <w:tc>
          <w:tcPr>
            <w:tcW w:type="dxa" w:w="2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🔴 &lt; safety floor</w:t>
            </w:r>
          </w:p>
        </w:tc>
      </w:tr>
      <w:tr>
        <w:tc>
          <w:tcPr>
            <w:tcW w:type="dxa" w:w="1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Base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R$ 11,44M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R$ 8,01M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R$ 3,43M</w:t>
            </w:r>
          </w:p>
        </w:tc>
        <w:tc>
          <w:tcPr>
            <w:tcW w:type="dxa" w:w="1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30,0%</w:t>
            </w:r>
          </w:p>
        </w:tc>
        <w:tc>
          <w:tcPr>
            <w:tcW w:type="dxa" w:w="2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✅ Guardrail</w:t>
            </w:r>
          </w:p>
        </w:tc>
      </w:tr>
      <w:tr>
        <w:tc>
          <w:tcPr>
            <w:tcW w:type="dxa" w:w="1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Otimista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R$ 13,29M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R$ 8,45M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R$ 4,84M</w:t>
            </w:r>
          </w:p>
        </w:tc>
        <w:tc>
          <w:tcPr>
            <w:tcW w:type="dxa" w:w="1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36,4%</w:t>
            </w:r>
          </w:p>
        </w:tc>
        <w:tc>
          <w:tcPr>
            <w:tcW w:type="dxa" w:w="2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✅ Acima</w:t>
            </w:r>
          </w:p>
        </w:tc>
      </w:tr>
    </w:tbl>
    <w:p>
      <w:pPr>
        <w:spacing w:after="80" w:before="80"/>
        <w:jc w:val="both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*Pessimista inclui contingenciamento de R$ 828K. Otimista inclui investimento incremental.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6.3 Variações-chave 2025 → 2026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700"/>
        <w:gridCol w:w="1500"/>
        <w:gridCol w:w="2400"/>
      </w:tblGrid>
      <w:tr>
        <w:tc>
          <w:tcPr>
            <w:tcW w:type="dxa" w:w="20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2025</w:t>
            </w:r>
          </w:p>
        </w:tc>
        <w:tc>
          <w:tcPr>
            <w:tcW w:type="dxa" w:w="17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2026 (proj.)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Despesas totais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R$ 6.779K</w:t>
            </w:r>
          </w:p>
        </w:tc>
        <w:tc>
          <w:tcPr>
            <w:tcW w:type="dxa" w:w="1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R$ 7.879K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+R$ 1.100K</w:t>
            </w:r>
          </w:p>
        </w:tc>
        <w:tc>
          <w:tcPr>
            <w:tcW w:type="dxa" w:w="2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Investimentos estratégicos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P&amp;D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R$ 512K</w:t>
            </w:r>
          </w:p>
        </w:tc>
        <w:tc>
          <w:tcPr>
            <w:tcW w:type="dxa" w:w="1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R$ 801K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+R$ 289K</w:t>
            </w:r>
          </w:p>
        </w:tc>
        <w:tc>
          <w:tcPr>
            <w:tcW w:type="dxa" w:w="2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Retomar 7% receita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Comercial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R$ 905K</w:t>
            </w:r>
          </w:p>
        </w:tc>
        <w:tc>
          <w:tcPr>
            <w:tcW w:type="dxa" w:w="1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R$ 1.132K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+R$ 227K</w:t>
            </w:r>
          </w:p>
        </w:tc>
        <w:tc>
          <w:tcPr>
            <w:tcW w:type="dxa" w:w="2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Expansão AE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RH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R$ 439K</w:t>
            </w:r>
          </w:p>
        </w:tc>
        <w:tc>
          <w:tcPr>
            <w:tcW w:type="dxa" w:w="1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R$ 527K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+R$ 88K</w:t>
            </w:r>
          </w:p>
        </w:tc>
        <w:tc>
          <w:tcPr>
            <w:tcW w:type="dxa" w:w="2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Contratações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Margem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34,3%</w:t>
            </w:r>
          </w:p>
        </w:tc>
        <w:tc>
          <w:tcPr>
            <w:tcW w:type="dxa" w:w="1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30,0%</w:t>
            </w:r>
          </w:p>
        </w:tc>
        <w:tc>
          <w:tcPr>
            <w:tcW w:type="dxa" w:w="1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-4,3 p.p.</w:t>
            </w:r>
          </w:p>
        </w:tc>
        <w:tc>
          <w:tcPr>
            <w:tcW w:type="dxa" w:w="2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Tradeoff: margem por crescimento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6.4 Indicadores de eficiência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2100"/>
        <w:gridCol w:w="2500"/>
      </w:tblGrid>
      <w:tr>
        <w:tc>
          <w:tcPr>
            <w:tcW w:type="dxa" w:w="28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7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Real 2025</w:t>
            </w:r>
          </w:p>
        </w:tc>
        <w:tc>
          <w:tcPr>
            <w:tcW w:type="dxa" w:w="21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Projetado 2026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Margem operacional</w:t>
            </w:r>
          </w:p>
        </w:tc>
        <w:tc>
          <w:tcPr>
            <w:tcW w:type="dxa" w:w="1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34,3%</w:t>
            </w:r>
          </w:p>
        </w:tc>
        <w:tc>
          <w:tcPr>
            <w:tcW w:type="dxa" w:w="2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30,0%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15-25%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GAO</w:t>
            </w:r>
          </w:p>
        </w:tc>
        <w:tc>
          <w:tcPr>
            <w:tcW w:type="dxa" w:w="1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1,91x</w:t>
            </w:r>
          </w:p>
        </w:tc>
        <w:tc>
          <w:tcPr>
            <w:tcW w:type="dxa" w:w="2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~1,85x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&gt; 1,5x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Receita/colaborador</w:t>
            </w:r>
          </w:p>
        </w:tc>
        <w:tc>
          <w:tcPr>
            <w:tcW w:type="dxa" w:w="1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R$ 323K</w:t>
            </w:r>
          </w:p>
        </w:tc>
        <w:tc>
          <w:tcPr>
            <w:tcW w:type="dxa" w:w="2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R$ 327K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R$ 300-500K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Custo/ha (TD)</w:t>
            </w:r>
          </w:p>
        </w:tc>
        <w:tc>
          <w:tcPr>
            <w:tcW w:type="dxa" w:w="1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R$ 52,74</w:t>
            </w:r>
          </w:p>
        </w:tc>
        <w:tc>
          <w:tcPr>
            <w:tcW w:type="dxa" w:w="2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R$ 55-58 (est.)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N/D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Break-even mensal</w:t>
            </w:r>
          </w:p>
        </w:tc>
        <w:tc>
          <w:tcPr>
            <w:tcW w:type="dxa" w:w="1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R$ 458K</w:t>
            </w:r>
          </w:p>
        </w:tc>
        <w:tc>
          <w:tcPr>
            <w:tcW w:type="dxa" w:w="2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R$ 520K (est.)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Capacidade ociosa</w:t>
            </w:r>
          </w:p>
        </w:tc>
        <w:tc>
          <w:tcPr>
            <w:tcW w:type="dxa" w:w="17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42,6%</w:t>
            </w:r>
          </w:p>
        </w:tc>
        <w:tc>
          <w:tcPr>
            <w:tcW w:type="dxa" w:w="2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~35%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Ideal: 20-30%</w:t>
            </w:r>
          </w:p>
        </w:tc>
      </w:tr>
    </w:tbl>
    <w:p>
      <w:r>
        <w:br w:type="page"/>
      </w:r>
    </w:p>
    <w:p>
      <w:pPr>
        <w:pBdr>
          <w:bottom w:val="single" w:color="2980B9" w:sz="3" w:space="4"/>
        </w:pBdr>
        <w:spacing w:after="160" w:before="3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Impacto das contratações prioritárias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2500"/>
        <w:gridCol w:w="1400"/>
      </w:tblGrid>
      <w:tr>
        <w:tc>
          <w:tcPr>
            <w:tcW w:type="dxa" w:w="22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Posição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Faixa salarial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Mês est.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 anual*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COO / Dir. Operações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R$ 18-22K + perf</w:t>
            </w:r>
          </w:p>
        </w:tc>
        <w:tc>
          <w:tcPr>
            <w:tcW w:type="dxa" w:w="1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Abr/2026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R$ 198-264K (9m)</w:t>
            </w:r>
          </w:p>
        </w:tc>
        <w:tc>
          <w:tcPr>
            <w:tcW w:type="dxa" w:w="1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Liderança Comercial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R$ 12-16K + perf</w:t>
            </w:r>
          </w:p>
        </w:tc>
        <w:tc>
          <w:tcPr>
            <w:tcW w:type="dxa" w:w="1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Mai/2026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R$ 120-160K (8m)</w:t>
            </w:r>
          </w:p>
        </w:tc>
        <w:tc>
          <w:tcPr>
            <w:tcW w:type="dxa" w:w="1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Marketing (2 posições)</w:t>
            </w:r>
          </w:p>
        </w:tc>
        <w:tc>
          <w:tcPr>
            <w:tcW w:type="dxa" w:w="1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R$ 5-8K cada</w:t>
            </w:r>
          </w:p>
        </w:tc>
        <w:tc>
          <w:tcPr>
            <w:tcW w:type="dxa" w:w="1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Mar-Abr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R$ 100-160K (9-10m)</w:t>
            </w:r>
          </w:p>
        </w:tc>
        <w:tc>
          <w:tcPr>
            <w:tcW w:type="dxa" w:w="1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🟡</w:t>
            </w:r>
          </w:p>
        </w:tc>
      </w:tr>
    </w:tbl>
    <w:p>
      <w:pPr>
        <w:spacing w:after="80" w:before="80"/>
        <w:jc w:val="both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*Custo inclui encargos (~40%). Período = meses restantes no ano.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7.1 Impacto consolidado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100"/>
      </w:tblGrid>
      <w:tr>
        <w:tc>
          <w:tcPr>
            <w:tcW w:type="dxa" w:w="32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 anual</w:t>
            </w:r>
          </w:p>
        </w:tc>
        <w:tc>
          <w:tcPr>
            <w:tcW w:type="dxa" w:w="31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 na margem (base)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Mínimo (pisos)</w:t>
            </w:r>
          </w:p>
        </w:tc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R$ 418K</w:t>
            </w:r>
          </w:p>
        </w:tc>
        <w:tc>
          <w:tcPr>
            <w:tcW w:type="dxa" w:w="3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-3,7 p.p.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Máximo (tetos)</w:t>
            </w:r>
          </w:p>
        </w:tc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R$ 584K</w:t>
            </w:r>
          </w:p>
        </w:tc>
        <w:tc>
          <w:tcPr>
            <w:tcW w:type="dxa" w:w="3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-5,1 p.p.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Estimativa adotada</w:t>
            </w:r>
          </w:p>
        </w:tc>
        <w:tc>
          <w:tcPr>
            <w:tcW w:type="dxa" w:w="28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~R$ 500K</w:t>
            </w:r>
          </w:p>
        </w:tc>
        <w:tc>
          <w:tcPr>
            <w:tcW w:type="dxa" w:w="31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-4,4 p.p. (absorvido na DRE)</w:t>
            </w:r>
          </w:p>
        </w:tc>
      </w:tr>
    </w:tbl>
    <w:p>
      <w:pPr>
        <w:pBdr>
          <w:left w:val="single" w:color="0E8C6B" w:sz="12" w:space="8"/>
        </w:pBdr>
        <w:shd w:fill="E6F7F2" w:val="clear"/>
        <w:spacing w:after="160" w:before="160"/>
      </w:pPr>
      <w:r>
        <w:rPr>
          <w:rFonts w:ascii="Calibri" w:cs="Calibri" w:eastAsia="Calibri" w:hAnsi="Calibri"/>
          <w:b/>
          <w:bCs/>
          <w:color w:val="0E8C6B"/>
          <w:sz w:val="18"/>
          <w:szCs w:val="18"/>
        </w:rPr>
        <w:t xml:space="preserve">💡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Impacto já incorporado nas despesas projetadas do cenário base (R$ 8,01M).</w:t>
      </w:r>
    </w:p>
    <w:p>
      <w:pPr>
        <w:pBdr>
          <w:bottom w:val="single" w:color="2980B9" w:sz="3" w:space="4"/>
        </w:pBdr>
        <w:spacing w:after="160" w:before="3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Gatilhos de decisão e contingência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8.1 Early Warning System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500"/>
      </w:tblGrid>
      <w:tr>
        <w:tc>
          <w:tcPr>
            <w:tcW w:type="dxa" w:w="22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Verde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Amarelo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Vermelho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Resolução SES/MG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Renovada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Em negociação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NÃO renovada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Preço médio TD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≥ R$ 82/ha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R$ 78-82/ha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&lt; R$ 78/ha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Taxa renovação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&gt; 85%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70-85%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&lt; 70%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Pipeline convertido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&gt; 60%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50-60%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&lt; 50%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Capacidade utilizada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65-80%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&lt; 60% ou &gt; 80%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&lt; 55% ou &gt; 95%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PMR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&lt; 20 dias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20-25 dias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&gt; 25 dias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Margem operacional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≥ 30%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20-30%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&lt; 20%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Pipeline AE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4+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2-3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0-1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8.2 Gatilhos de cenário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300"/>
        <w:gridCol w:w="2200"/>
      </w:tblGrid>
      <w:tr>
        <w:tc>
          <w:tcPr>
            <w:tcW w:type="dxa" w:w="14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Gatilho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3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Fórum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Regulatório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Resolução não renovada até abr/26</w:t>
            </w:r>
          </w:p>
        </w:tc>
        <w:tc>
          <w:tcPr>
            <w:tcW w:type="dxa" w:w="3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Contingência: congelar contratações, P&amp;D -30%, MKT -25%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Extra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Margem &lt; 20%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Leitura mensal abaixo do floor</w:t>
            </w:r>
          </w:p>
        </w:tc>
        <w:tc>
          <w:tcPr>
            <w:tcW w:type="dxa" w:w="3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Cortar R$ 828K conforme plano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MBR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Aero Q3 (A)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Pipeline &lt; 3 oportunidades Q2</w:t>
            </w:r>
          </w:p>
        </w:tc>
        <w:tc>
          <w:tcPr>
            <w:tcW w:type="dxa" w:w="3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Cenário conservador: manutenção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QBR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Aero Q3 (B)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Pipeline &gt; 3 com tração</w:t>
            </w:r>
          </w:p>
        </w:tc>
        <w:tc>
          <w:tcPr>
            <w:tcW w:type="dxa" w:w="3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Cenário expansivo: aprovar investimento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QBR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Churn TD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Renovação &lt; 70%</w:t>
            </w:r>
          </w:p>
        </w:tc>
        <w:tc>
          <w:tcPr>
            <w:tcW w:type="dxa" w:w="3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Diagnóstico + plano retenção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MBR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Capacidade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Utilização &gt; 95% por 2 meses</w:t>
            </w:r>
          </w:p>
        </w:tc>
        <w:tc>
          <w:tcPr>
            <w:tcW w:type="dxa" w:w="3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Aprovar investimento operacional</w:t>
            </w:r>
          </w:p>
        </w:tc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WBR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8.3 Contingência — cenário pessimista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00"/>
        <w:gridCol w:w="3000"/>
      </w:tblGrid>
      <w:tr>
        <w:tc>
          <w:tcPr>
            <w:tcW w:type="dxa" w:w="36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Redução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 no resultado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Congelar contratações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R$ 185K</w:t>
            </w:r>
          </w:p>
        </w:tc>
        <w:tc>
          <w:tcPr>
            <w:tcW w:type="dxa" w:w="3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+R$ 185K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Reduzir CAPEX em 40%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R$ 243K</w:t>
            </w:r>
          </w:p>
        </w:tc>
        <w:tc>
          <w:tcPr>
            <w:tcW w:type="dxa" w:w="3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+R$ 243K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Contingenciar P&amp;D em 30%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R$ 240K</w:t>
            </w:r>
          </w:p>
        </w:tc>
        <w:tc>
          <w:tcPr>
            <w:tcW w:type="dxa" w:w="3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+R$ 240K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Reduzir Marketing em 25%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R$ 160K</w:t>
            </w:r>
          </w:p>
        </w:tc>
        <w:tc>
          <w:tcPr>
            <w:tcW w:type="dxa" w:w="3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+R$ 160K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Total contingência</w:t>
            </w:r>
          </w:p>
        </w:tc>
        <w:tc>
          <w:tcPr>
            <w:tcW w:type="dxa" w:w="25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R$ 828K</w:t>
            </w:r>
          </w:p>
        </w:tc>
        <w:tc>
          <w:tcPr>
            <w:tcW w:type="dxa" w:w="30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Resultado positivo (est. R$ 1,44M)</w:t>
            </w:r>
          </w:p>
        </w:tc>
      </w:tr>
    </w:tbl>
    <w:p>
      <w:pPr>
        <w:pBdr>
          <w:left w:val="single" w:color="0E8C6B" w:sz="12" w:space="8"/>
        </w:pBdr>
        <w:shd w:fill="E6F7F2" w:val="clear"/>
        <w:spacing w:after="160" w:before="160"/>
      </w:pPr>
      <w:r>
        <w:rPr>
          <w:rFonts w:ascii="Calibri" w:cs="Calibri" w:eastAsia="Calibri" w:hAnsi="Calibri"/>
          <w:b/>
          <w:bCs/>
          <w:color w:val="0E8C6B"/>
          <w:sz w:val="18"/>
          <w:szCs w:val="18"/>
        </w:rPr>
        <w:t xml:space="preserve">💡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Mesmo no pessimista com contingência, resultado positivo. Margem de segurança sobre break-even: 45,2%.</w:t>
      </w:r>
    </w:p>
    <w:p>
      <w:r>
        <w:br w:type="page"/>
      </w:r>
    </w:p>
    <w:p>
      <w:pPr>
        <w:pBdr>
          <w:bottom w:val="single" w:color="2980B9" w:sz="3" w:space="4"/>
        </w:pBdr>
        <w:spacing w:after="160" w:before="3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Rastreabilidade com OKRs corporativos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Conexão entre metas deste documento e KRs corporativos do DOC 06.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300"/>
      </w:tblGrid>
      <w:tr>
        <w:tc>
          <w:tcPr>
            <w:tcW w:type="dxa" w:w="32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(DOC 07)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 corporativo (DOC 06)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Receita ≥ R$ 11,44M</w:t>
            </w:r>
          </w:p>
        </w:tc>
        <w:tc>
          <w:tcPr>
            <w:tcW w:type="dxa" w:w="3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P2.1 / P2.2 (execução hectares)</w:t>
            </w:r>
          </w:p>
        </w:tc>
        <w:tc>
          <w:tcPr>
            <w:tcW w:type="dxa" w:w="2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Base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Margem ≥ 30%</w:t>
            </w:r>
          </w:p>
        </w:tc>
        <w:tc>
          <w:tcPr>
            <w:tcW w:type="dxa" w:w="3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P3.1 (guardrail)</w:t>
            </w:r>
          </w:p>
        </w:tc>
        <w:tc>
          <w:tcPr>
            <w:tcW w:type="dxa" w:w="2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Base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Safety floor 20%</w:t>
            </w:r>
          </w:p>
        </w:tc>
        <w:tc>
          <w:tcPr>
            <w:tcW w:type="dxa" w:w="3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P3.1 (contingência)</w:t>
            </w:r>
          </w:p>
        </w:tc>
        <w:tc>
          <w:tcPr>
            <w:tcW w:type="dxa" w:w="2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Pessimista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120.000 ha TD</w:t>
            </w:r>
          </w:p>
        </w:tc>
        <w:tc>
          <w:tcPr>
            <w:tcW w:type="dxa" w:w="3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P2.1 (50.438 ha Q1) + P2.2</w:t>
            </w:r>
          </w:p>
        </w:tc>
        <w:tc>
          <w:tcPr>
            <w:tcW w:type="dxa" w:w="2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Base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Preço ≥ R$ 80/ha</w:t>
            </w:r>
          </w:p>
        </w:tc>
        <w:tc>
          <w:tcPr>
            <w:tcW w:type="dxa" w:w="3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P3.1 (margem protegida)</w:t>
            </w:r>
          </w:p>
        </w:tc>
        <w:tc>
          <w:tcPr>
            <w:tcW w:type="dxa" w:w="2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Guardrail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Aero ≥ R$ 1,80M</w:t>
            </w:r>
          </w:p>
        </w:tc>
        <w:tc>
          <w:tcPr>
            <w:tcW w:type="dxa" w:w="3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Decisão Q3 (cenário B)</w:t>
            </w:r>
          </w:p>
        </w:tc>
        <w:tc>
          <w:tcPr>
            <w:tcW w:type="dxa" w:w="2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Base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COO + Comercial</w:t>
            </w:r>
          </w:p>
        </w:tc>
        <w:tc>
          <w:tcPr>
            <w:tcW w:type="dxa" w:w="3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P5.4 (posições-chave ≥ 80%)</w:t>
            </w:r>
          </w:p>
        </w:tc>
        <w:tc>
          <w:tcPr>
            <w:tcW w:type="dxa" w:w="2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Base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Contingência R$ 828K</w:t>
            </w:r>
          </w:p>
        </w:tc>
        <w:tc>
          <w:tcPr>
            <w:tcW w:type="dxa" w:w="3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P1.3 (RSK-*)</w:t>
            </w:r>
          </w:p>
        </w:tc>
        <w:tc>
          <w:tcPr>
            <w:tcW w:type="dxa" w:w="2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Pessimista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Gatilho regulatório</w:t>
            </w:r>
          </w:p>
        </w:tc>
        <w:tc>
          <w:tcPr>
            <w:tcW w:type="dxa" w:w="36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RSK-01 (DOC 10)</w:t>
            </w:r>
          </w:p>
        </w:tc>
        <w:tc>
          <w:tcPr>
            <w:tcW w:type="dxa" w:w="23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Monitoramento</w:t>
            </w:r>
          </w:p>
        </w:tc>
      </w:tr>
    </w:tbl>
    <w:p>
      <w:pPr>
        <w:pBdr>
          <w:bottom w:val="single" w:color="2980B9" w:sz="3" w:space="4"/>
        </w:pBdr>
        <w:spacing w:after="160" w:before="360"/>
      </w:pP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Conclusão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exercício 2026 parte de posição de força: margem de 34,3%, base contratual cobrindo 79% da meta e estrutura comprovadamente eficiente. O cenário base projeta crescimento de 10,8% com margem no guardrail de 30%, absorvendo investimentos estratégicos sem comprometer saúde financeira. O pessimista, mesmo com perda regulatória, é gerenciável com contingência de R$ 828K. Os gatilhos estão calibrados para que a empresa mova entre cenários com método. O Q3 concentra as decisões mais importantes: Aero (expandir ou manter) e regulatório (confirmação ou contingência). Toda a base quantitativa alimenta os KRs do DOC 06 e será monitorada em cadência WBR/MBR/QBR.</w:t>
      </w:r>
    </w:p>
    <w:p>
      <w:pPr>
        <w:pBdr>
          <w:bottom w:val="single" w:color="2980B9" w:sz="3" w:space="4"/>
        </w:pBdr>
        <w:spacing w:after="160" w:before="360"/>
      </w:pP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900"/>
            <w:tcBorders>
              <w:top w:val="none" w:sz="0"/>
              <w:left w:val="none" w:sz="0"/>
              <w:bottom w:val="single" w:color="2980B9" w:sz="2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Cenário base</w:t>
            </w:r>
          </w:p>
        </w:tc>
        <w:tc>
          <w:tcPr>
            <w:tcW w:type="dxa" w:w="69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Projeção 60% probabilidade, premissas médias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Cenário pessimista</w:t>
            </w:r>
          </w:p>
        </w:tc>
        <w:tc>
          <w:tcPr>
            <w:tcW w:type="dxa" w:w="69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Pior caso razoável (15%), vinculado a gatilho regulatório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Cenário otimista</w:t>
            </w:r>
          </w:p>
        </w:tc>
        <w:tc>
          <w:tcPr>
            <w:tcW w:type="dxa" w:w="69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Melhor caso razoável (25%), expansão + upsell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Valor esperado</w:t>
            </w:r>
          </w:p>
        </w:tc>
        <w:tc>
          <w:tcPr>
            <w:tcW w:type="dxa" w:w="69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Média ponderada por probabilidade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Receita travada</w:t>
            </w:r>
          </w:p>
        </w:tc>
        <w:tc>
          <w:tcPr>
            <w:tcW w:type="dxa" w:w="69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Receita contratada via renovações e plurianuais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GAO</w:t>
            </w:r>
          </w:p>
        </w:tc>
        <w:tc>
          <w:tcPr>
            <w:tcW w:type="dxa" w:w="69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Grau de alavancagem operacional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Safety floor</w:t>
            </w:r>
          </w:p>
        </w:tc>
        <w:tc>
          <w:tcPr>
            <w:tcW w:type="dxa" w:w="69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Margem mínima (20%) antes de contingência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Guardrail</w:t>
            </w:r>
          </w:p>
        </w:tc>
        <w:tc>
          <w:tcPr>
            <w:tcW w:type="dxa" w:w="69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Margem-alvo mínima (30%) para investimento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HHI</w:t>
            </w:r>
          </w:p>
        </w:tc>
        <w:tc>
          <w:tcPr>
            <w:tcW w:type="dxa" w:w="69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Índice de concentração de receita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Early Warning</w:t>
            </w:r>
          </w:p>
        </w:tc>
        <w:tc>
          <w:tcPr>
            <w:tcW w:type="dxa" w:w="69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Indicadores antecipados de risco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Contingência</w:t>
            </w:r>
          </w:p>
        </w:tc>
        <w:tc>
          <w:tcPr>
            <w:tcW w:type="dxa" w:w="69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Plano de redução de despesas para cenário adverso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PMR</w:t>
            </w:r>
          </w:p>
        </w:tc>
        <w:tc>
          <w:tcPr>
            <w:tcW w:type="dxa" w:w="6900"/>
            <w:tcBorders>
              <w:top w:val="single" w:color="D0D5DD" w:sz="1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Prazo médio de recebimento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1" w:space="4"/>
      </w:pBdr>
      <w:tabs>
        <w:tab w:val="right" w:pos="880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rPr>
        <w:rFonts w:ascii="Calibri" w:cs="Calibri" w:eastAsia="Calibri" w:hAnsi="Calibri"/>
        <w:sz w:val="14"/>
        <w:szCs w:val="14"/>
      </w:rPr>
      <w:ptab w:alignment="right" w:relativeTo="margin" w:leader="none"/>
    </w:r>
    <w:r>
      <w:rPr>
        <w:rFonts w:ascii="Calibri" w:cs="Calibri" w:eastAsia="Calibri" w:hAnsi="Calibri"/>
        <w:color w:val="94A3B8"/>
        <w:sz w:val="14"/>
        <w:szCs w:val="14"/>
      </w:rPr>
      <w:t xml:space="preserve">DOC 07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4A3B8" w:sz="1" w:space="4"/>
      </w:pBdr>
    </w:pPr>
    <w:r>
      <w:rPr>
        <w:rFonts w:ascii="Calibri Light" w:cs="Calibri Light" w:eastAsia="Calibri Light" w:hAnsi="Calibri Light"/>
        <w:color w:val="94A3B8"/>
        <w:sz w:val="14"/>
        <w:szCs w:val="14"/>
      </w:rPr>
      <w:t xml:space="preserve">PE 2026</w:t>
    </w:r>
    <w:r>
      <w:rPr>
        <w:rFonts w:ascii="Calibri" w:cs="Calibri" w:eastAsia="Calibri" w:hAnsi="Calibri"/>
        <w:color w:val="94A3B8"/>
        <w:sz w:val="14"/>
        <w:szCs w:val="14"/>
      </w:rPr>
      <w:t xml:space="preserve">  |  </w:t>
    </w:r>
    <w:r>
      <w:rPr>
        <w:rFonts w:ascii="Calibri Light" w:cs="Calibri Light" w:eastAsia="Calibri Light" w:hAnsi="Calibri Light"/>
        <w:color w:val="94A3B8"/>
        <w:sz w:val="14"/>
        <w:szCs w:val="14"/>
      </w:rPr>
      <w:t xml:space="preserve">DOC 07 — Metas 2026 e Cenários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2026-03-01T23:51:12.147Z</dcterms:created>
  <dcterms:modified xsi:type="dcterms:W3CDTF">2026-03-01T23:51:12.148Z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