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pBdr>
          <w:bottom w:val="single" w:color="2980B9" w:sz="12" w:space="8"/>
        </w:pBdr>
        <w:spacing w:after="200"/>
      </w:pPr>
    </w:p>
    <w:p>
      <w:pPr>
        <w:spacing w:after="40" w:before="200"/>
        <w:jc w:val="left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94A3B8"/>
          <w:sz w:val="18"/>
          <w:szCs w:val="18"/>
        </w:rPr>
        <w:t xml:space="preserve">PE 2026</w:t>
      </w:r>
    </w:p>
    <w:p>
      <w:pPr>
        <w:spacing w:after="80" w:before="0"/>
        <w:jc w:val="left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44"/>
          <w:szCs w:val="44"/>
        </w:rPr>
        <w:t xml:space="preserve">Carteira Estratégica 2026</w:t>
      </w:r>
    </w:p>
    <w:p>
      <w:pPr>
        <w:spacing w:after="200"/>
        <w:jc w:val="left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64748B"/>
          <w:sz w:val="22"/>
          <w:szCs w:val="22"/>
        </w:rPr>
        <w:t xml:space="preserve">Portfólio de iniciativas, priorização, dimensionamento financeiro e governança de execução</w:t>
      </w:r>
    </w:p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13</w:t>
            </w:r>
          </w:p>
          <w:p>
            <w:pPr>
              <w:spacing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4"/>
                <w:szCs w:val="14"/>
              </w:rPr>
              <w:t xml:space="preserve">INICIATIVAS P0</w:t>
            </w:r>
          </w:p>
        </w:tc>
        <w:tc>
          <w:tcPr>
            <w:tcW w:type="dxa" w:w="2256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9</w:t>
            </w:r>
          </w:p>
          <w:p>
            <w:pPr>
              <w:spacing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4"/>
                <w:szCs w:val="14"/>
              </w:rPr>
              <w:t xml:space="preserve">INICIATIVAS P1</w:t>
            </w:r>
          </w:p>
        </w:tc>
        <w:tc>
          <w:tcPr>
            <w:tcW w:type="dxa" w:w="2256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5</w:t>
            </w:r>
          </w:p>
          <w:p>
            <w:pPr>
              <w:spacing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4"/>
                <w:szCs w:val="14"/>
              </w:rPr>
              <w:t xml:space="preserve">MOTORES</w:t>
            </w:r>
          </w:p>
        </w:tc>
        <w:tc>
          <w:tcPr>
            <w:tcW w:type="dxa" w:w="2258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R$ 1,46M</w:t>
            </w:r>
          </w:p>
          <w:p>
            <w:pPr>
              <w:spacing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4"/>
                <w:szCs w:val="14"/>
              </w:rPr>
              <w:t xml:space="preserve">ENVELOPE PORTFÓLIO</w:t>
            </w:r>
          </w:p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626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Versão</w:t>
            </w:r>
          </w:p>
        </w:tc>
        <w:tc>
          <w:tcPr>
            <w:tcW w:type="dxa" w:w="66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2.0 — revisada (PE2026 Bloco B5)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Data</w:t>
            </w:r>
          </w:p>
        </w:tc>
        <w:tc>
          <w:tcPr>
            <w:tcW w:type="dxa" w:w="66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01/mar/2026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Autor</w:t>
            </w:r>
          </w:p>
        </w:tc>
        <w:tc>
          <w:tcPr>
            <w:tcW w:type="dxa" w:w="66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Cláudio Ribeiro (Direção Executiva)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Base de referência</w:t>
            </w:r>
          </w:p>
        </w:tc>
        <w:tc>
          <w:tcPr>
            <w:tcW w:type="dxa" w:w="66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01–07 v2 + DOC 10 v2 + cadernos setoriais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Lacunas endereçadas</w:t>
            </w:r>
          </w:p>
        </w:tc>
        <w:tc>
          <w:tcPr>
            <w:tcW w:type="dxa" w:w="66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LR-01 (dimensionamento por INIT) + WIP limits + rastreabilidade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Status</w:t>
            </w:r>
          </w:p>
        </w:tc>
        <w:tc>
          <w:tcPr>
            <w:tcW w:type="dxa" w:w="66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Documento de controle e gestão — fonte oficial do portfólio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0392B" w:sz="18"/>
              <w:bottom w:val="none" w:sz="0"/>
              <w:right w:val="none" w:sz="0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🔴 Nota de revisão v2.0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Documento recalibrado para refletir DOC 06 v2 (OKRs com timelines ajustadas), DOC 07 v2 (cenários financeiros) e calibrações da Direção (fev/2026). Principais adições: (1) LR-01 — dimensionamento financeiro (ordem de grandeza) por iniciativa; (2) WIP limits por motor e prioridade; (3) Carteira P1 (além de P0); (4) Envelope financeiro consolidado vinculado aos cenários do DOC 07 v2; (5) Calibrações: Comercial como área em criação, P&amp;D como Direção + consultorias.</w:t>
            </w:r>
          </w:p>
        </w:tc>
      </w:tr>
    </w:tbl>
    <w:p>
      <w:pPr>
        <w:spacing w:after="0" w:before="80"/>
      </w:pPr>
    </w:p>
    <w:p>
      <w:pPr>
        <w:pBdr>
          <w:bottom w:val="single" w:color="2980B9" w:sz="6" w:space="4"/>
        </w:pBdr>
        <w:spacing w:after="180" w:before="360"/>
      </w:pPr>
      <w:r>
        <w:rPr>
          <w:rFonts w:ascii="Calibri Light" w:cs="Calibri Light" w:eastAsia="Calibri Light" w:hAnsi="Calibri Light"/>
          <w:b/>
          <w:bCs/>
          <w:i w:val="false"/>
          <w:iCs w:val="false"/>
          <w:color w:val="2980B9"/>
          <w:sz w:val="30"/>
          <w:szCs w:val="30"/>
        </w:rPr>
        <w:t xml:space="preserve">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Sumário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1  Por que a Carteira existe ............................................................. 3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2  Regras fixas do Portfólio ............................................................. 3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3  Estrutura da Carteira .................................................................... 4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4  Cartão padrão da iniciativa ........................................................... 5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5  Critérios de priorização ................................................................ 6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6  WIP Limits e gestão de capacidade ............................................... 7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7  Carteira P0 — Crítico 90 dias ....................................................... 8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8  Carteira P1 — Estratégico do ano ................................................ 10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9  Envelope financeiro consolidado ................................................... 11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10  Governança da Carteira .............................................................. 12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11  Rastreabilidade ........................................................................... 13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12  Glossário .................................................................................... 14</w:t>
      </w:r>
    </w:p>
    <w:p>
      <w:r>
        <w:br w:type="page"/>
      </w:r>
    </w:p>
    <w:p>
      <w:pPr>
        <w:pBdr>
          <w:bottom w:val="single" w:color="2980B9" w:sz="6" w:space="4"/>
        </w:pBdr>
        <w:spacing w:after="180" w:before="360"/>
      </w:pPr>
      <w:r>
        <w:rPr>
          <w:rFonts w:ascii="Calibri Light" w:cs="Calibri Light" w:eastAsia="Calibri Light" w:hAnsi="Calibri Light"/>
          <w:b/>
          <w:bCs/>
          <w:i w:val="false"/>
          <w:iCs w:val="false"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Por que a Carteira de Iniciativas existe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 Carteira Estratégica é o mecanismo que transforma o PE2026 em execução controlada. Sem ela, o planejamento vira coleção de boas intenções: áreas criam listas próprias sem integração, a empresa dispersa capacidade em múltiplas frentes, prioridades mudam por urgência e não existe trilha de evidências que sustente decisões.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Em 2026, esse risco é amplificado pela pressão de monetizar a base contratual do Techdengue (91,3% da receita) com margem ≥ 30% e simultaneamente estruturar áreas inexistentes (Comercial) e reforçar as existentes. A Carteira coloca todas as iniciativas em um mesmo sistema com prioridade, dono, capacidade, prazo, custo estimado, dependências e evidências.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980B9" w:sz="18"/>
              <w:bottom w:val="none" w:sz="0"/>
              <w:right w:val="none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18"/>
                <w:szCs w:val="18"/>
              </w:rPr>
              <w:t xml:space="preserve">Três garantias da Carteira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Foco: fazer o que importa, na ordem certa. Capacidade: o plano cabe na agenda, no time e no orçamento. Rastreabilidade: saber exatamente onde cada decisão aconteceu — OKR → KR → INIT → EVID.</w:t>
            </w:r>
          </w:p>
        </w:tc>
      </w:tr>
    </w:tbl>
    <w:p>
      <w:pPr>
        <w:spacing w:after="0" w:before="40"/>
      </w:pPr>
    </w:p>
    <w:p>
      <w:pPr>
        <w:pBdr>
          <w:bottom w:val="single" w:color="2980B9" w:sz="6" w:space="4"/>
        </w:pBdr>
        <w:spacing w:after="180" w:before="360"/>
      </w:pPr>
      <w:r>
        <w:rPr>
          <w:rFonts w:ascii="Calibri Light" w:cs="Calibri Light" w:eastAsia="Calibri Light" w:hAnsi="Calibri Light"/>
          <w:b/>
          <w:bCs/>
          <w:i w:val="false"/>
          <w:iCs w:val="false"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Regras fixas do Portfólio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C2340"/>
          <w:sz w:val="20"/>
          <w:szCs w:val="20"/>
        </w:rPr>
        <w:t xml:space="preserve">Estas regras são não negociáveis e aplicam-se a 100% das iniciativas.</w:t>
      </w:r>
    </w:p>
    <w:p>
      <w:pPr>
        <w:spacing w:after="0" w:before="4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Regra 1 — Toda iniciativa amarrada a um KR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 uma INIT não contribui para nenhum KR corporativo (DOC 06 v2) ou KR setorial (DOC 11-*), ela é higiene operacional (entra em backlog sem governança do PE) ou deve ser descartada.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Regra 2 — Sem dono, não existe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Toda INIT tem dono (responsável pela execução) e patrocinador (remove bloqueios e arbitra conflitos).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Regra 3 — Sem capacidade e custo, é ficção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Toda iniciativa precisa de estimativa mínima de esforço (baixa/média/alta), consumo de capacidade (pessoas/tempo), ordem de grandeza de investimento e restrições (janelas, dependências, aprovações).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B8860B" w:sz="18"/>
              <w:bottom w:val="none" w:sz="0"/>
              <w:right w:val="none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v2.0 — Adição LR-01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 v1 não dimensionava custo por iniciativa. A v2 inclui estimativa de ordem de grandeza para cada INIT do portfólio, permitindo verificar se a carteira cabe no envelope financeiro do DOC 07 v2.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Regra 4 — Evidência obrigatória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Toda iniciativa gera EVID-* (evidência) para ser considerada concluída. Evidência é prova objetiva: relatório, painel publicado, checklist implementado, ata, entrega em produção, norma interna aprovada.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Regra 5 — Prioridade corporativa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 prioridade final é definida no fórum do PE (WBR/MBR/QBR), com base no impacto corporativo, não na pressão departamental.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Regra 6 — WIP limit por motor (NOVA)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Cada motor tem limite máximo de iniciativas ativas simultâneas. Novas iniciativas só entram quando as anteriores são concluídas ou explicitamente suspensas com registro em DEC-*.</w:t>
      </w:r>
    </w:p>
    <w:p>
      <w:r>
        <w:br w:type="page"/>
      </w:r>
    </w:p>
    <w:p>
      <w:pPr>
        <w:pBdr>
          <w:bottom w:val="single" w:color="2980B9" w:sz="6" w:space="4"/>
        </w:pBdr>
        <w:spacing w:after="180" w:before="360"/>
      </w:pPr>
      <w:r>
        <w:rPr>
          <w:rFonts w:ascii="Calibri Light" w:cs="Calibri Light" w:eastAsia="Calibri Light" w:hAnsi="Calibri Light"/>
          <w:b/>
          <w:bCs/>
          <w:i w:val="false"/>
          <w:iCs w:val="false"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Estrutura da Carteira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3.1  Tipos de iniciativa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rPr>
          <w:tblHeader/>
        </w:trPr>
        <w:tc>
          <w:tcPr>
            <w:tcW w:type="dxa" w:w="14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426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INIT-ENT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Entrega — algo novo entra em operação</w:t>
            </w:r>
          </w:p>
        </w:tc>
        <w:tc>
          <w:tcPr>
            <w:tcW w:type="dxa" w:w="34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Padrão de qualidade implantado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INIT-MET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Método/processo — padronização, governança, ritos</w:t>
            </w:r>
          </w:p>
        </w:tc>
        <w:tc>
          <w:tcPr>
            <w:tcW w:type="dxa" w:w="34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Playbook de ativação de demanda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INIT-SIS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Sistema/painel/automação — dados, produto, IA</w:t>
            </w:r>
          </w:p>
        </w:tc>
        <w:tc>
          <w:tcPr>
            <w:tcW w:type="dxa" w:w="34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Painel de monetização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INIT-ORG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Estrutura/pessoas — contratações, papéis, formação</w:t>
            </w:r>
          </w:p>
        </w:tc>
        <w:tc>
          <w:tcPr>
            <w:tcW w:type="dxa" w:w="34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Mapa de posições-chave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INIT-COM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Comunicação/posicionamento — marketing, material</w:t>
            </w:r>
          </w:p>
        </w:tc>
        <w:tc>
          <w:tcPr>
            <w:tcW w:type="dxa" w:w="34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Campanha 10 anos Techdengue</w:t>
            </w:r>
          </w:p>
        </w:tc>
      </w:tr>
    </w:tbl>
    <w:p>
      <w:pPr>
        <w:spacing w:after="0" w:before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3.2  Níveis de prioridade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626"/>
        <w:gridCol w:w="2600"/>
      </w:tblGrid>
      <w:tr>
        <w:trPr>
          <w:tblHeader/>
        </w:trPr>
        <w:tc>
          <w:tcPr>
            <w:tcW w:type="dxa" w:w="8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3626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WIP Limit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P0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Crítico 90 dias</w:t>
            </w:r>
          </w:p>
        </w:tc>
        <w:tc>
          <w:tcPr>
            <w:tcW w:type="dxa" w:w="36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Iniciativas que travam ou destravam o ano (Q1)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Sem limite — máxima urgência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Estratégico do ano</w:t>
            </w:r>
          </w:p>
        </w:tc>
        <w:tc>
          <w:tcPr>
            <w:tcW w:type="dxa" w:w="36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Sustentam crescimento e maturidade 2026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3–4 por motor simultâneas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Melhoria e evolução</w:t>
            </w:r>
          </w:p>
        </w:tc>
        <w:tc>
          <w:tcPr>
            <w:tcW w:type="dxa" w:w="36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Importantes, mas não disputam recursos do motor 2026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 por motor simultâneas</w:t>
            </w:r>
          </w:p>
        </w:tc>
      </w:tr>
    </w:tbl>
    <w:p>
      <w:pPr>
        <w:spacing w:after="0" w:before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3.3  Agrupamento por motor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As iniciativas são agrupadas em 5 motores, alinhados aos pilares do PE2026 (DOC 04 v2):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26"/>
        <w:gridCol w:w="1800"/>
      </w:tblGrid>
      <w:tr>
        <w:trPr>
          <w:tblHeader/>
        </w:trPr>
        <w:tc>
          <w:tcPr>
            <w:tcW w:type="dxa" w:w="24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Motor</w:t>
            </w:r>
          </w:p>
        </w:tc>
        <w:tc>
          <w:tcPr>
            <w:tcW w:type="dxa" w:w="4826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Pilar PE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M1 — Monetização</w:t>
            </w:r>
          </w:p>
        </w:tc>
        <w:tc>
          <w:tcPr>
            <w:tcW w:type="dxa" w:w="48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Contrato → Demanda → Execução → Caixa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M2 — Governança</w:t>
            </w:r>
          </w:p>
        </w:tc>
        <w:tc>
          <w:tcPr>
            <w:tcW w:type="dxa" w:w="48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Separação Aero × Techdengue, padrão auditável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M3 — Escala</w:t>
            </w:r>
          </w:p>
        </w:tc>
        <w:tc>
          <w:tcPr>
            <w:tcW w:type="dxa" w:w="48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Margem, qualidade, produtividade operacional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M4 — Produto/Dados/IA</w:t>
            </w:r>
          </w:p>
        </w:tc>
        <w:tc>
          <w:tcPr>
            <w:tcW w:type="dxa" w:w="48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Evidência, inteligência, automação, prova de valor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M5 — Pessoas</w:t>
            </w:r>
          </w:p>
        </w:tc>
        <w:tc>
          <w:tcPr>
            <w:tcW w:type="dxa" w:w="48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Liderança, densidade intelectual, capacidade humana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P5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after="180" w:before="360"/>
      </w:pPr>
      <w:r>
        <w:rPr>
          <w:rFonts w:ascii="Calibri Light" w:cs="Calibri Light" w:eastAsia="Calibri Light" w:hAnsi="Calibri Light"/>
          <w:b/>
          <w:bCs/>
          <w:i w:val="false"/>
          <w:iCs w:val="false"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Cartão padrão da iniciativa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Toda iniciativa deve ser registrada com os campos abaixo. O cartão é o padrão canônico — sem exceções.</w:t>
      </w:r>
    </w:p>
    <w:p>
      <w:pPr>
        <w:spacing w:after="0" w:before="4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Bloco A —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826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Formato / Regra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Código</w:t>
            </w:r>
          </w:p>
        </w:tc>
        <w:tc>
          <w:tcPr>
            <w:tcW w:type="dxa" w:w="68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INIT-2026-### (ex.: INIT-2026-014)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Título</w:t>
            </w:r>
          </w:p>
        </w:tc>
        <w:tc>
          <w:tcPr>
            <w:tcW w:type="dxa" w:w="68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Verbo + resultado (ex.: "Implantar Sala de Situação Q1")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Tipo</w:t>
            </w:r>
          </w:p>
        </w:tc>
        <w:tc>
          <w:tcPr>
            <w:tcW w:type="dxa" w:w="68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ENT / MET / SIS / ORG / COM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8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P0 / P1 / P2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Motor</w:t>
            </w:r>
          </w:p>
        </w:tc>
        <w:tc>
          <w:tcPr>
            <w:tcW w:type="dxa" w:w="68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M1–M5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Área dona</w:t>
            </w:r>
          </w:p>
        </w:tc>
        <w:tc>
          <w:tcPr>
            <w:tcW w:type="dxa" w:w="68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CS, Operação, Financeiro, P&amp;D, MKT, RH, Comercial (quando ativado)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Dono</w:t>
            </w:r>
          </w:p>
        </w:tc>
        <w:tc>
          <w:tcPr>
            <w:tcW w:type="dxa" w:w="68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Nome do responsável pela execução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Patrocinador</w:t>
            </w:r>
          </w:p>
        </w:tc>
        <w:tc>
          <w:tcPr>
            <w:tcW w:type="dxa" w:w="68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Nome do sponsor (destravar bloqueios)</w:t>
            </w:r>
          </w:p>
        </w:tc>
      </w:tr>
    </w:tbl>
    <w:p>
      <w:pPr>
        <w:spacing w:after="0" w:before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Bloco B — Rastreabilidade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826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Formato / Regra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Pilar</w:t>
            </w:r>
          </w:p>
        </w:tc>
        <w:tc>
          <w:tcPr>
            <w:tcW w:type="dxa" w:w="68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P1–P5 (DOC 04 v2)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OKR corporativo</w:t>
            </w:r>
          </w:p>
        </w:tc>
        <w:tc>
          <w:tcPr>
            <w:tcW w:type="dxa" w:w="68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OKR-Px (DOC 06 v2)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KR associado</w:t>
            </w:r>
          </w:p>
        </w:tc>
        <w:tc>
          <w:tcPr>
            <w:tcW w:type="dxa" w:w="68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KR-Px.# (DOC 06 v2 — versão recalibrada)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KPIs impactados</w:t>
            </w:r>
          </w:p>
        </w:tc>
        <w:tc>
          <w:tcPr>
            <w:tcW w:type="dxa" w:w="68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Códigos do Placar DOC 05 v2</w:t>
            </w:r>
          </w:p>
        </w:tc>
      </w:tr>
    </w:tbl>
    <w:p>
      <w:pPr>
        <w:spacing w:after="0" w:before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Bloco C — Definição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226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Formato / Regra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Problema que resolve</w:t>
            </w:r>
          </w:p>
        </w:tc>
        <w:tc>
          <w:tcPr>
            <w:tcW w:type="dxa" w:w="6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 frase objetiva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Hipótese / lógica de valor</w:t>
            </w:r>
          </w:p>
        </w:tc>
        <w:tc>
          <w:tcPr>
            <w:tcW w:type="dxa" w:w="6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2–3 linhas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Escopo (entra / não entra)</w:t>
            </w:r>
          </w:p>
        </w:tc>
        <w:tc>
          <w:tcPr>
            <w:tcW w:type="dxa" w:w="6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Delimitação clara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Entregáveis objetivos</w:t>
            </w:r>
          </w:p>
        </w:tc>
        <w:tc>
          <w:tcPr>
            <w:tcW w:type="dxa" w:w="6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Lista verificável</w:t>
            </w:r>
          </w:p>
        </w:tc>
      </w:tr>
    </w:tbl>
    <w:p>
      <w:pPr>
        <w:spacing w:after="0" w:before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Bloco D — Planejamento e Custo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226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Formato / Regra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Início / fim previsto</w:t>
            </w:r>
          </w:p>
        </w:tc>
        <w:tc>
          <w:tcPr>
            <w:tcW w:type="dxa" w:w="6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Data ou trimestre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INIT-###, áreas, decisões, contratações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Capacidade necessária</w:t>
            </w:r>
          </w:p>
        </w:tc>
        <w:tc>
          <w:tcPr>
            <w:tcW w:type="dxa" w:w="6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Pessoas-chave + estimativa simples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Custo estimado (NOVO)</w:t>
            </w:r>
          </w:p>
        </w:tc>
        <w:tc>
          <w:tcPr>
            <w:tcW w:type="dxa" w:w="6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Ordem de grandeza em R$ — faixa (ex.: R$ 20–40K)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Riscos e mitigação</w:t>
            </w:r>
          </w:p>
        </w:tc>
        <w:tc>
          <w:tcPr>
            <w:tcW w:type="dxa" w:w="6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Descrição + plano de contingência</w:t>
            </w:r>
          </w:p>
        </w:tc>
      </w:tr>
    </w:tbl>
    <w:p>
      <w:pPr>
        <w:spacing w:after="0" w:before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Bloco E — Evidência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226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Formato / Regra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EVID obrigatórias</w:t>
            </w:r>
          </w:p>
        </w:tc>
        <w:tc>
          <w:tcPr>
            <w:tcW w:type="dxa" w:w="6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EVID-2026-### (prova de conclusão)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6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Checklist objetivo — o que comprova "concluído"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after="180" w:before="360"/>
      </w:pPr>
      <w:r>
        <w:rPr>
          <w:rFonts w:ascii="Calibri Light" w:cs="Calibri Light" w:eastAsia="Calibri Light" w:hAnsi="Calibri Light"/>
          <w:b/>
          <w:bCs/>
          <w:i w:val="false"/>
          <w:iCs w:val="false"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Critérios de priorização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Toda iniciativa recebe pontuação de 0–5 em 6 critérios. A soma gera o Índice de Prioridade, que orienta mas não substitui decisão executiva.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326"/>
        <w:gridCol w:w="2000"/>
      </w:tblGrid>
      <w:tr>
        <w:trPr>
          <w:tblHeader/>
        </w:trPr>
        <w:tc>
          <w:tcPr>
            <w:tcW w:type="dxa" w:w="5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4326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Peso implícito</w:t>
            </w:r>
          </w:p>
        </w:tc>
      </w:tr>
      <w:tr>
        <w:tc>
          <w:tcPr>
            <w:tcW w:type="dxa" w:w="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C1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Impacto na monetização</w:t>
            </w:r>
          </w:p>
        </w:tc>
        <w:tc>
          <w:tcPr>
            <w:tcW w:type="dxa" w:w="43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Contribui para contrato → demanda → execução → caixa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Alto em 2026</w:t>
            </w:r>
          </w:p>
        </w:tc>
      </w:tr>
      <w:tr>
        <w:tc>
          <w:tcPr>
            <w:tcW w:type="dxa" w:w="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C2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Urgência e janela</w:t>
            </w:r>
          </w:p>
        </w:tc>
        <w:tc>
          <w:tcPr>
            <w:tcW w:type="dxa" w:w="43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Regulatória, sazonal, contratual — perda se não fizer agora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Variável</w:t>
            </w:r>
          </w:p>
        </w:tc>
      </w:tr>
      <w:tr>
        <w:tc>
          <w:tcPr>
            <w:tcW w:type="dxa" w:w="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C3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Impacto na margem/produtividade</w:t>
            </w:r>
          </w:p>
        </w:tc>
        <w:tc>
          <w:tcPr>
            <w:tcW w:type="dxa" w:w="43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Reduz custo, melhora qualidade ou aumenta vazão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C4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Redução de risco crítico</w:t>
            </w:r>
          </w:p>
        </w:tc>
        <w:tc>
          <w:tcPr>
            <w:tcW w:type="dxa" w:w="43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Institucional, reputação, caixa, dependência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Médio-alto</w:t>
            </w:r>
          </w:p>
        </w:tc>
      </w:tr>
      <w:tr>
        <w:tc>
          <w:tcPr>
            <w:tcW w:type="dxa" w:w="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C5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Reforço sell-ready</w:t>
            </w:r>
          </w:p>
        </w:tc>
        <w:tc>
          <w:tcPr>
            <w:tcW w:type="dxa" w:w="43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Aproxima o Techdengue de padrão transacionável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C6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Esforço (inverso)</w:t>
            </w:r>
          </w:p>
        </w:tc>
        <w:tc>
          <w:tcPr>
            <w:tcW w:type="dxa" w:w="43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Quanto menor o esforço para o impacto, maior a nota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Moderador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B8860B" w:sz="18"/>
              <w:bottom w:val="none" w:sz="0"/>
              <w:right w:val="none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Regra prática 2026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Iniciativas que não tocam monetização direta ou indiretamente precisam justificar muito bem por que consomem capacidade P0/P1. Em caso de conflito: priorizar o que destrava o Pareto e aumenta vazão no Q1, depois o que consolida sistema e crescimento.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after="180" w:before="360"/>
      </w:pPr>
      <w:r>
        <w:rPr>
          <w:rFonts w:ascii="Calibri Light" w:cs="Calibri Light" w:eastAsia="Calibri Light" w:hAnsi="Calibri Light"/>
          <w:b/>
          <w:bCs/>
          <w:i w:val="false"/>
          <w:iCs w:val="false"/>
          <w:color w:val="2980B9"/>
          <w:sz w:val="30"/>
          <w:szCs w:val="30"/>
        </w:rPr>
        <w:t xml:space="preserve">6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WIP Limits e gestão de capacidade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980B9" w:sz="18"/>
              <w:bottom w:val="none" w:sz="0"/>
              <w:right w:val="none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18"/>
                <w:szCs w:val="18"/>
              </w:rPr>
              <w:t xml:space="preserve">Seção nova na v2.0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WIP limits não existiam na v1. A adição responde à necessidade de garantir que a carteira cabe na capacidade real da organização — especialmente crítico no Q1 com equipe enxuta e áreas em estruturação.</w:t>
            </w:r>
          </w:p>
        </w:tc>
      </w:tr>
    </w:tbl>
    <w:p>
      <w:pPr>
        <w:spacing w:after="0" w:before="4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6.1  Dois horizontes de capacidade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0"/>
          <w:szCs w:val="20"/>
        </w:rPr>
        <w:t xml:space="preserve">Capacidade de execução (Operação):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vazão e prontidão para atender demanda ativada. Se ativação cresce sem execução: frustração e desgaste institucional.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0"/>
          <w:szCs w:val="20"/>
        </w:rPr>
        <w:t xml:space="preserve">Capacidade de ativação (CS + P&amp;D + MKT/Comercial):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capacidade institucional e técnica de induzir demanda, provar valor e organizar previsibilidade. Se execução existe sem ativação: capacidade ociosa e saldo envelhecendo.</w:t>
      </w:r>
    </w:p>
    <w:p>
      <w:pPr>
        <w:spacing w:after="0" w:before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6.2  WIP limits por motor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026"/>
      </w:tblGrid>
      <w:tr>
        <w:trPr>
          <w:tblHeader/>
        </w:trPr>
        <w:tc>
          <w:tcPr>
            <w:tcW w:type="dxa" w:w="22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Motor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WIP P0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WIP P1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WIP P2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máx ativo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M1 — Monetização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Sem limite (Q1)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~8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M2 — Governança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Sem limite (Q1)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~5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M3 — Escala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Sem limite (Q1)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~5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M4 — Produto/Dados/IA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Sem limite (Q1)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~5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M5 — Pessoas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Sem limite (Q1)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~5</w:t>
            </w:r>
          </w:p>
        </w:tc>
      </w:tr>
    </w:tbl>
    <w:p>
      <w:pPr>
        <w:spacing w:after="0" w:before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6.3  Regra do Q1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Durante o Q1, a carteira respeita a seguinte alocação de capacidade gerencial e de coordenação: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rPr>
          <w:tblHeader/>
        </w:trPr>
        <w:tc>
          <w:tcPr>
            <w:tcW w:type="dxa" w:w="26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Foco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 Capacidade gerencial</w:t>
            </w:r>
          </w:p>
        </w:tc>
        <w:tc>
          <w:tcPr>
            <w:tcW w:type="dxa" w:w="4026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Motor Monetização (M1)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60–70%</w:t>
            </w:r>
          </w:p>
        </w:tc>
        <w:tc>
          <w:tcPr>
            <w:tcW w:type="dxa" w:w="4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Motor do ano — base contratual é a prioridade #1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Governança + Escala (M2+M3)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15–20%</w:t>
            </w:r>
          </w:p>
        </w:tc>
        <w:tc>
          <w:tcPr>
            <w:tcW w:type="dxa" w:w="4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Mínimo de disciplina e padrão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Produto/Dados + Pessoas (M4+M5)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10–20%</w:t>
            </w:r>
          </w:p>
        </w:tc>
        <w:tc>
          <w:tcPr>
            <w:tcW w:type="dxa" w:w="4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Sustentação e preparação Q2+</w:t>
            </w:r>
          </w:p>
        </w:tc>
      </w:tr>
    </w:tbl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Essa regra é temporária e será revista no QBR-Q1 (abr/2026) com base na vazão real e no Early Warning System (DOC 07 v2, Seção 8).</w:t>
      </w:r>
    </w:p>
    <w:p>
      <w:r>
        <w:br w:type="page"/>
      </w:r>
    </w:p>
    <w:p>
      <w:pPr>
        <w:pBdr>
          <w:bottom w:val="single" w:color="2980B9" w:sz="6" w:space="4"/>
        </w:pBdr>
        <w:spacing w:after="180" w:before="360"/>
      </w:pPr>
      <w:r>
        <w:rPr>
          <w:rFonts w:ascii="Calibri Light" w:cs="Calibri Light" w:eastAsia="Calibri Light" w:hAnsi="Calibri Light"/>
          <w:b/>
          <w:bCs/>
          <w:i w:val="false"/>
          <w:iCs w:val="false"/>
          <w:color w:val="2980B9"/>
          <w:sz w:val="30"/>
          <w:szCs w:val="30"/>
        </w:rPr>
        <w:t xml:space="preserve">7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Carteira P0 — Crítico 90 dias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Iniciativas P0 são validadas no primeiro WBR oficial de implementação. Cada iniciativa inclui custo estimado de ordem de grandeza para verificação contra o envelope financeiro.</w:t>
      </w:r>
    </w:p>
    <w:p>
      <w:pPr>
        <w:spacing w:after="0" w:before="4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Motor 1 — Monetização (Contrato → Demanda → Execução → Caixa)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26"/>
        <w:gridCol w:w="600"/>
        <w:gridCol w:w="1200"/>
        <w:gridCol w:w="1200"/>
        <w:gridCol w:w="1800"/>
      </w:tblGrid>
      <w:tr>
        <w:trPr>
          <w:tblHeader/>
        </w:trPr>
        <w:tc>
          <w:tcPr>
            <w:tcW w:type="dxa" w:w="10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3226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Iniciativa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KR vinculado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Custo est.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INIT-001</w:t>
            </w:r>
          </w:p>
        </w:tc>
        <w:tc>
          <w:tcPr>
            <w:tcW w:type="dxa" w:w="3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Implantar Sala de Situação Q1 (Pareto Top-14) com rito semanal, plano 7/14/30 e previsão 30/60/90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MET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P2.3, P2.5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R$ 5–10K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Fev–mar/26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INIT-002</w:t>
            </w:r>
          </w:p>
        </w:tc>
        <w:tc>
          <w:tcPr>
            <w:tcW w:type="dxa" w:w="3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Criar Playbook de Ativação de Demanda (roteiros, artefatos, padrões de evidência)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MET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P2.4, P2.5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R$ 15–25K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Mar–abr/26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INIT-003</w:t>
            </w:r>
          </w:p>
        </w:tc>
        <w:tc>
          <w:tcPr>
            <w:tcW w:type="dxa" w:w="3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Painel de monetização (saldo, vazão, idade, previsão 30/60/90, Pareto)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SIS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P4.3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R$ 30–50K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Mar–abr/26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INIT-004</w:t>
            </w:r>
          </w:p>
        </w:tc>
        <w:tc>
          <w:tcPr>
            <w:tcW w:type="dxa" w:w="3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Pacote mensal de prova de valor para Top-14 com devolutiva registrada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COM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P4.1, P4.2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R$ 10–20K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Mar–jun/26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INIT-005</w:t>
            </w:r>
          </w:p>
        </w:tc>
        <w:tc>
          <w:tcPr>
            <w:tcW w:type="dxa" w:w="3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Integração formal CS ↔ Operação ↔ Financeiro (passagem de bastão com checklist)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MET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P3.5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R$ 5–10K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Abr/26</w:t>
            </w:r>
          </w:p>
        </w:tc>
      </w:tr>
    </w:tbl>
    <w:p>
      <w:pPr>
        <w:spacing w:after="0" w:before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Motor 2 — Governança e separação Aero × Techdengue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26"/>
        <w:gridCol w:w="600"/>
        <w:gridCol w:w="1200"/>
        <w:gridCol w:w="1200"/>
        <w:gridCol w:w="1800"/>
      </w:tblGrid>
      <w:tr>
        <w:trPr>
          <w:tblHeader/>
        </w:trPr>
        <w:tc>
          <w:tcPr>
            <w:tcW w:type="dxa" w:w="10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3226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Iniciativa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KR vinculado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Custo est.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INIT-006</w:t>
            </w:r>
          </w:p>
        </w:tc>
        <w:tc>
          <w:tcPr>
            <w:tcW w:type="dxa" w:w="3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Registro de decisões (DEC-*) e riscos (RSK-*) ativo + rotina MBR de integridade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MET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P1.2, P1.3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R$ 5–10K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Mar/26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INIT-007</w:t>
            </w:r>
          </w:p>
        </w:tc>
        <w:tc>
          <w:tcPr>
            <w:tcW w:type="dxa" w:w="3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Apuração gerencial por unidade (Aero × TD) — fechamento mensal até dia 10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MET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P1.1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R$ 10–20K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Mar–dez/26</w:t>
            </w:r>
          </w:p>
        </w:tc>
      </w:tr>
    </w:tbl>
    <w:p>
      <w:pPr>
        <w:spacing w:after="0" w:before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Motor 3 — Escala com margem e qualidade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26"/>
        <w:gridCol w:w="600"/>
        <w:gridCol w:w="1200"/>
        <w:gridCol w:w="1200"/>
        <w:gridCol w:w="1800"/>
      </w:tblGrid>
      <w:tr>
        <w:trPr>
          <w:tblHeader/>
        </w:trPr>
        <w:tc>
          <w:tcPr>
            <w:tcW w:type="dxa" w:w="10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3226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Iniciativa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KR vinculado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Custo est.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INIT-008</w:t>
            </w:r>
          </w:p>
        </w:tc>
        <w:tc>
          <w:tcPr>
            <w:tcW w:type="dxa" w:w="3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Planejamento semanal de capacidade (Q1) + agenda de gargalos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MET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P3.2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R$ 3–5K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Mar/26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INIT-009</w:t>
            </w:r>
          </w:p>
        </w:tc>
        <w:tc>
          <w:tcPr>
            <w:tcW w:type="dxa" w:w="3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Padrão mínimo de qualidade e redução de retrabalho (baseline + controles)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ENT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P3.3, P3.4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R$ 15–25K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Mar–jun/26</w:t>
            </w:r>
          </w:p>
        </w:tc>
      </w:tr>
    </w:tbl>
    <w:p>
      <w:pPr>
        <w:spacing w:after="0" w:before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Motor 4 — Produto/Dados/IA aplicada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B8860B" w:sz="18"/>
              <w:bottom w:val="none" w:sz="0"/>
              <w:right w:val="none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Modelo operacional (fev/2026)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P&amp;D opera via Direção Executiva + consultorias sob demanda. Todos os custos de INIT-SIS incluem consultorias especializadas. Não há equipe P&amp;D dedicada.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26"/>
        <w:gridCol w:w="600"/>
        <w:gridCol w:w="1200"/>
        <w:gridCol w:w="1200"/>
        <w:gridCol w:w="1800"/>
      </w:tblGrid>
      <w:tr>
        <w:trPr>
          <w:tblHeader/>
        </w:trPr>
        <w:tc>
          <w:tcPr>
            <w:tcW w:type="dxa" w:w="10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3226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Iniciativa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KR vinculado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Custo est.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INIT-010</w:t>
            </w:r>
          </w:p>
        </w:tc>
        <w:tc>
          <w:tcPr>
            <w:tcW w:type="dxa" w:w="3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Padronizar relatório executivo de evidência/prova de valor (v1.0)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SIS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P4.2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R$ 15–25K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Mar/26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INIT-011</w:t>
            </w:r>
          </w:p>
        </w:tc>
        <w:tc>
          <w:tcPr>
            <w:tcW w:type="dxa" w:w="3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1ª automação/IA com ganho operacional mensurável (tempo, custo ou qualidade)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SIS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P4.5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R$ 40–70K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Abr–set/26</w:t>
            </w:r>
          </w:p>
        </w:tc>
      </w:tr>
    </w:tbl>
    <w:p>
      <w:pPr>
        <w:spacing w:after="0" w:before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Motor 5 — Pessoas e densidade intelectual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26"/>
        <w:gridCol w:w="600"/>
        <w:gridCol w:w="1200"/>
        <w:gridCol w:w="1200"/>
        <w:gridCol w:w="1800"/>
      </w:tblGrid>
      <w:tr>
        <w:trPr>
          <w:tblHeader/>
        </w:trPr>
        <w:tc>
          <w:tcPr>
            <w:tcW w:type="dxa" w:w="10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3226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Iniciativa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KR vinculado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Custo est.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INIT-012</w:t>
            </w:r>
          </w:p>
        </w:tc>
        <w:tc>
          <w:tcPr>
            <w:tcW w:type="dxa" w:w="3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Mapa de posições-chave 2026 + plano de preenchimento (80% até jun)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ORG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P5.4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R$ 5–10K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Mar/26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INIT-013</w:t>
            </w:r>
          </w:p>
        </w:tc>
        <w:tc>
          <w:tcPr>
            <w:tcW w:type="dxa" w:w="3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Onboarding estruturado (checklist + 45/90 dias) com medição de efetividade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MET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P5.5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R$ 10–15K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Abr/26</w:t>
            </w:r>
          </w:p>
        </w:tc>
      </w:tr>
    </w:tbl>
    <w:p>
      <w:pPr>
        <w:spacing w:after="0" w:before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Resumo financeiro P0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600"/>
        <w:gridCol w:w="2626"/>
      </w:tblGrid>
      <w:tr>
        <w:trPr>
          <w:tblHeader/>
        </w:trPr>
        <w:tc>
          <w:tcPr>
            <w:tcW w:type="dxa" w:w="26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Motor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Qtd INITs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Faixa de custo</w:t>
            </w:r>
          </w:p>
        </w:tc>
        <w:tc>
          <w:tcPr>
            <w:tcW w:type="dxa" w:w="2626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 do envelope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M1 — Monetização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R$ 65–115K</w:t>
            </w:r>
          </w:p>
        </w:tc>
        <w:tc>
          <w:tcPr>
            <w:tcW w:type="dxa" w:w="26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~6%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M2 — Governança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R$ 15–30K</w:t>
            </w:r>
          </w:p>
        </w:tc>
        <w:tc>
          <w:tcPr>
            <w:tcW w:type="dxa" w:w="26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~2%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M3 — Escala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R$ 18–30K</w:t>
            </w:r>
          </w:p>
        </w:tc>
        <w:tc>
          <w:tcPr>
            <w:tcW w:type="dxa" w:w="26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~2%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M4 — Produto/Dados/IA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R$ 55–95K</w:t>
            </w:r>
          </w:p>
        </w:tc>
        <w:tc>
          <w:tcPr>
            <w:tcW w:type="dxa" w:w="26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~5%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M5 — Pessoas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R$ 15–25K</w:t>
            </w:r>
          </w:p>
        </w:tc>
        <w:tc>
          <w:tcPr>
            <w:tcW w:type="dxa" w:w="26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~1%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2340"/>
                <w:sz w:val="18"/>
                <w:szCs w:val="18"/>
              </w:rPr>
              <w:t xml:space="preserve">TOTAL P0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234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8C6B"/>
                <w:sz w:val="18"/>
                <w:szCs w:val="18"/>
              </w:rPr>
              <w:t xml:space="preserve">R$ 168–295K</w:t>
            </w:r>
          </w:p>
        </w:tc>
        <w:tc>
          <w:tcPr>
            <w:tcW w:type="dxa" w:w="26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2340"/>
                <w:sz w:val="18"/>
                <w:szCs w:val="18"/>
              </w:rPr>
              <w:t xml:space="preserve">~16%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after="180" w:before="360"/>
      </w:pPr>
      <w:r>
        <w:rPr>
          <w:rFonts w:ascii="Calibri Light" w:cs="Calibri Light" w:eastAsia="Calibri Light" w:hAnsi="Calibri Light"/>
          <w:b/>
          <w:bCs/>
          <w:i w:val="false"/>
          <w:iCs w:val="false"/>
          <w:color w:val="2980B9"/>
          <w:sz w:val="30"/>
          <w:szCs w:val="30"/>
        </w:rPr>
        <w:t xml:space="preserve">8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Carteira P1 — Estratégico do ano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980B9" w:sz="18"/>
              <w:bottom w:val="none" w:sz="0"/>
              <w:right w:val="none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18"/>
                <w:szCs w:val="18"/>
              </w:rPr>
              <w:t xml:space="preserve">Seção nova na v2.0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 v1 continha apenas P0. A carteira P1 reúne iniciativas que sustentam crescimento e maturidade em 2026, ativadas após estabilização do Q1 ou conforme gatilhos específicos.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0"/>
        <w:gridCol w:w="600"/>
        <w:gridCol w:w="700"/>
        <w:gridCol w:w="1826"/>
        <w:gridCol w:w="2000"/>
      </w:tblGrid>
      <w:tr>
        <w:trPr>
          <w:tblHeader/>
        </w:trPr>
        <w:tc>
          <w:tcPr>
            <w:tcW w:type="dxa" w:w="9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Iniciativa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Motor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1826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Custo est.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Ativação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INIT-014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Centro de Tecnologia e IA (infraestrutura + primeiros projetos)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SIS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M4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P4.5</w:t>
            </w:r>
          </w:p>
        </w:tc>
        <w:tc>
          <w:tcPr>
            <w:tcW w:type="dxa" w:w="18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R$ 230–370K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Abr–dez/26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INIT-015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Contratação COO/Diretor de Operações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ORG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M5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P5.4</w:t>
            </w:r>
          </w:p>
        </w:tc>
        <w:tc>
          <w:tcPr>
            <w:tcW w:type="dxa" w:w="18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R$ 216–264K/ano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Abr/26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INIT-016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Contratação liderança Comercial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ORG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M5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P5.4</w:t>
            </w:r>
          </w:p>
        </w:tc>
        <w:tc>
          <w:tcPr>
            <w:tcW w:type="dxa" w:w="18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R$ 144–192K/ano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Mai/26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INIT-017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Estratégia de feiras e eventos (R$ 500K envelope MKT)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COM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M1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P2.x</w:t>
            </w:r>
          </w:p>
        </w:tc>
        <w:tc>
          <w:tcPr>
            <w:tcW w:type="dxa" w:w="18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R$ 500K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Mar–dez/26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INIT-018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Campanha 10 anos Techdengue (teto R$ 100K)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COM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M1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P2.x</w:t>
            </w:r>
          </w:p>
        </w:tc>
        <w:tc>
          <w:tcPr>
            <w:tcW w:type="dxa" w:w="18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R$ 80–100K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Q2/26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INIT-019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Modelo de separação Aero × TD por fases (v1.0)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MET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M2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P1.5</w:t>
            </w:r>
          </w:p>
        </w:tc>
        <w:tc>
          <w:tcPr>
            <w:tcW w:type="dxa" w:w="18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R$ 20–40K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Abr/26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INIT-020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Baseline de uso do produto + melhoria ≥ 15%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SIS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M4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P4.4</w:t>
            </w:r>
          </w:p>
        </w:tc>
        <w:tc>
          <w:tcPr>
            <w:tcW w:type="dxa" w:w="18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R$ 30–50K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Abr–dez/26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INIT-021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Estruturação área Comercial (processos, CRM, pipeline)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ORG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M1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P2.x</w:t>
            </w:r>
          </w:p>
        </w:tc>
        <w:tc>
          <w:tcPr>
            <w:tcW w:type="dxa" w:w="18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R$ 40–70K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Mai–jul/26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INIT-022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Rituais mínimos de liderança (aderência ≥ 85%)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MET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M5</w:t>
            </w:r>
          </w:p>
        </w:tc>
        <w:tc>
          <w:tcPr>
            <w:tcW w:type="dxa" w:w="7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P5.3</w:t>
            </w:r>
          </w:p>
        </w:tc>
        <w:tc>
          <w:tcPr>
            <w:tcW w:type="dxa" w:w="18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R$ 10–20K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Abr–jun/26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B8860B" w:sz="18"/>
              <w:bottom w:val="none" w:sz="0"/>
              <w:right w:val="none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⚠️ Comercial como área em criação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INIT-016 (contratação) e INIT-021 (estruturação) tratam o Comercial como área a ser criada. Todas as referências a KRs comerciais no DOC 06 v2 são condicionais: "quando área ativada". A estruturação inicia após contratação da liderança (gatilho: INIT-016 concluída).</w:t>
            </w:r>
          </w:p>
        </w:tc>
      </w:tr>
    </w:tbl>
    <w:p>
      <w:pPr>
        <w:spacing w:after="0" w:before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Resumo financeiro P1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2400"/>
        <w:gridCol w:w="3026"/>
      </w:tblGrid>
      <w:tr>
        <w:trPr>
          <w:tblHeader/>
        </w:trPr>
        <w:tc>
          <w:tcPr>
            <w:tcW w:type="dxa" w:w="26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Motor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Qtd INITs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Faixa de custo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M1 — Monetização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R$ 620–670K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Inclui feiras R$ 500K + campanha + estruturação Comercial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M2 — Governança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R$ 20–40K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Modelo separação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M4 — Produto/Dados/IA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R$ 260–420K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Centro IA + baseline produto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M5 — Pessoas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R$ 370–476K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COO + Comercial + rituais (custo anual folha)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2340"/>
                <w:sz w:val="18"/>
                <w:szCs w:val="18"/>
              </w:rPr>
              <w:t xml:space="preserve">TOTAL P1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2340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8C6B"/>
                <w:sz w:val="18"/>
                <w:szCs w:val="18"/>
              </w:rPr>
              <w:t xml:space="preserve">R$ 1,27–1,61M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4748B"/>
                <w:sz w:val="18"/>
                <w:szCs w:val="18"/>
              </w:rPr>
              <w:t xml:space="preserve">Inclui impacto anual de contratações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after="180" w:before="360"/>
      </w:pPr>
      <w:r>
        <w:rPr>
          <w:rFonts w:ascii="Calibri Light" w:cs="Calibri Light" w:eastAsia="Calibri Light" w:hAnsi="Calibri Light"/>
          <w:b/>
          <w:bCs/>
          <w:i w:val="false"/>
          <w:iCs w:val="false"/>
          <w:color w:val="2980B9"/>
          <w:sz w:val="30"/>
          <w:szCs w:val="30"/>
        </w:rPr>
        <w:t xml:space="preserve">9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Envelope financeiro consolidado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O portfólio total é verificado contra os cenários do DOC 07 v2 para garantir que a carteira cabe no envelope de despesas sem comprometer a margem-alvo de ≥ 30%.</w:t>
      </w:r>
    </w:p>
    <w:p>
      <w:pPr>
        <w:spacing w:after="0" w:before="4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9.1  Portfólio total (P0 + P1)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22</w:t>
            </w:r>
          </w:p>
          <w:p>
            <w:pPr>
              <w:spacing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4"/>
                <w:szCs w:val="14"/>
              </w:rPr>
              <w:t xml:space="preserve">INICIATIVAS TOTAL</w:t>
            </w:r>
          </w:p>
        </w:tc>
        <w:tc>
          <w:tcPr>
            <w:tcW w:type="dxa" w:w="2256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R$ 1,44–1,90M</w:t>
            </w:r>
          </w:p>
          <w:p>
            <w:pPr>
              <w:spacing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4"/>
                <w:szCs w:val="14"/>
              </w:rPr>
              <w:t xml:space="preserve">FAIXA DE CUSTO</w:t>
            </w:r>
          </w:p>
        </w:tc>
        <w:tc>
          <w:tcPr>
            <w:tcW w:type="dxa" w:w="2256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R$ 1,46M</w:t>
            </w:r>
          </w:p>
          <w:p>
            <w:pPr>
              <w:spacing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4"/>
                <w:szCs w:val="14"/>
              </w:rPr>
              <w:t xml:space="preserve">VALOR ESPERADO</w:t>
            </w:r>
          </w:p>
        </w:tc>
        <w:tc>
          <w:tcPr>
            <w:tcW w:type="dxa" w:w="2258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18,2%</w:t>
            </w:r>
          </w:p>
          <w:p>
            <w:pPr>
              <w:spacing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4"/>
                <w:szCs w:val="14"/>
              </w:rPr>
              <w:t xml:space="preserve">% DESPESAS (BASE)</w:t>
            </w:r>
          </w:p>
        </w:tc>
      </w:tr>
    </w:tbl>
    <w:p>
      <w:pPr>
        <w:spacing w:after="0" w:before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9.2  Verificação contra cenários DOC 07 v2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1226"/>
        <w:gridCol w:w="2000"/>
        <w:gridCol w:w="1600"/>
      </w:tblGrid>
      <w:tr>
        <w:trPr>
          <w:tblHeader/>
        </w:trPr>
        <w:tc>
          <w:tcPr>
            <w:tcW w:type="dxa" w:w="12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Receita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Despesas totais</w:t>
            </w:r>
          </w:p>
        </w:tc>
        <w:tc>
          <w:tcPr>
            <w:tcW w:type="dxa" w:w="1226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Portfólio (%)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Margem após portfólio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Viabilidade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Pessimista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R$ 8,31M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R$ 6,80M</w:t>
            </w:r>
          </w:p>
        </w:tc>
        <w:tc>
          <w:tcPr>
            <w:tcW w:type="dxa" w:w="1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21,5%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18,2% ⚠️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Requer contingência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Base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R$ 11,44M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R$ 8,01M</w:t>
            </w:r>
          </w:p>
        </w:tc>
        <w:tc>
          <w:tcPr>
            <w:tcW w:type="dxa" w:w="1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18,2%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30,0% ✓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8C6B"/>
                <w:sz w:val="18"/>
                <w:szCs w:val="18"/>
              </w:rPr>
              <w:t xml:space="preserve">Compatível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Otimista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R$ 13,29M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R$ 8,45M</w:t>
            </w:r>
          </w:p>
        </w:tc>
        <w:tc>
          <w:tcPr>
            <w:tcW w:type="dxa" w:w="1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17,3%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36,4% ✓✓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8C6B"/>
                <w:sz w:val="18"/>
                <w:szCs w:val="18"/>
              </w:rPr>
              <w:t xml:space="preserve">Folga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C0392B" w:sz="18"/>
              <w:bottom w:val="none" w:sz="0"/>
              <w:right w:val="none" w:sz="0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Regra de ativação condicional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No cenário pessimista, o portfólio P1 deve ser reduzido conforme plano de contingência do DOC 07 v2 (Seção 8.3): congelamento de vagas (R$ 185K), redução de CAPEX 40% (R$ 243K), redução de P&amp;D 30% (R$ 240K), corte MKT 25% (R$ 160K). As INIT-014, 017 e 018 são as primeiras candidatas a suspensão. INIT-015 (COO) e INIT-016 (Comercial) mantêm prioridade por serem pré-condições estruturais.</w:t>
            </w:r>
          </w:p>
        </w:tc>
      </w:tr>
    </w:tbl>
    <w:p>
      <w:pPr>
        <w:spacing w:after="0" w:before="4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9.3  Custo das contratações prioritárias (LR-01 / LC-02)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Detalhamento das 4 contratações previstas, com impacto proporcional ao mês de entrada estimado: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2226"/>
        <w:gridCol w:w="1800"/>
      </w:tblGrid>
      <w:tr>
        <w:trPr>
          <w:tblHeader/>
        </w:trPr>
        <w:tc>
          <w:tcPr>
            <w:tcW w:type="dxa" w:w="20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Posição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Faixa mensal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Entrada estimada</w:t>
            </w:r>
          </w:p>
        </w:tc>
        <w:tc>
          <w:tcPr>
            <w:tcW w:type="dxa" w:w="2226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Impacto 2026 (9–10 meses)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INIT vinculada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COO / Dir. Operações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R$ 18–22K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Abr/2026</w:t>
            </w:r>
          </w:p>
        </w:tc>
        <w:tc>
          <w:tcPr>
            <w:tcW w:type="dxa" w:w="2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R$ 162–198K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INIT-015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Liderança Comercial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R$ 12–16K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Mai/2026</w:t>
            </w:r>
          </w:p>
        </w:tc>
        <w:tc>
          <w:tcPr>
            <w:tcW w:type="dxa" w:w="2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R$ 96–128K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INIT-016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Marketing (2 pessoas)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R$ 5–8K cada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Mar–Abr/2026</w:t>
            </w:r>
          </w:p>
        </w:tc>
        <w:tc>
          <w:tcPr>
            <w:tcW w:type="dxa" w:w="2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R$ 90–144K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INIT-012 (mapa)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TOTAL contratações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2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8C6B"/>
                <w:sz w:val="18"/>
                <w:szCs w:val="18"/>
              </w:rPr>
              <w:t xml:space="preserve">R$ 348–470K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Esses valores já estão incluídos no envelope de despesas do DOC 07 v2 (cenário base: R$ 8,01M).</w:t>
      </w:r>
    </w:p>
    <w:p>
      <w:r>
        <w:br w:type="page"/>
      </w:r>
    </w:p>
    <w:p>
      <w:pPr>
        <w:pBdr>
          <w:bottom w:val="single" w:color="2980B9" w:sz="6" w:space="4"/>
        </w:pBdr>
        <w:spacing w:after="180" w:before="360"/>
      </w:pPr>
      <w:r>
        <w:rPr>
          <w:rFonts w:ascii="Calibri Light" w:cs="Calibri Light" w:eastAsia="Calibri Light" w:hAnsi="Calibri Light"/>
          <w:b/>
          <w:bCs/>
          <w:i w:val="false"/>
          <w:iCs w:val="false"/>
          <w:color w:val="2980B9"/>
          <w:sz w:val="30"/>
          <w:szCs w:val="30"/>
        </w:rPr>
        <w:t xml:space="preserve">10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Governança da Carteira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10.1  Fórum semanal (WBR do portfólio)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Revisar P0 e impedimentos críticos. Aprovar trocas (entrar/sair) com justificativa registrada em DEC-*. Atualizar evidências EVID-*. Verificar WIP limits por motor.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10.2  Fórum mensal (MBR)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Revisar placar institucional (DOC 05 v2). Revisar avanço dos OKRs (DOC 06 v2). Recalibrar carteira P1/P2 com base em capacidade, cenário financeiro e Early Warning System (DOC 07 v2). Verificar envelope financeiro acumulado vs projetado.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10.3  Fórum trimestral (QBR)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Revisar tese, prioridades e cenário. Decisões estruturais: ativação/suspensão de INITs P1, revisão de WIP limits, rebalanceamento entre motores. Atualização formal da carteira com nova versão.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10.4  Papel da Consultora Estratégica Corporativa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Manter integridade do portfólio (campos completos, rastreabilidade, evidências). Consolidar status executivo por motor/pilar. Alertar sobre iniciativas órfãs (sem KR), iniciativas sem evidência e violações de WIP limit.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10.5  Regras de mudança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rPr>
          <w:tblHeader/>
        </w:trPr>
        <w:tc>
          <w:tcPr>
            <w:tcW w:type="dxa" w:w="28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Mudança</w:t>
            </w:r>
          </w:p>
        </w:tc>
        <w:tc>
          <w:tcPr>
            <w:tcW w:type="dxa" w:w="3226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Aprovação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Registro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Entrada/saída de INIT P0</w:t>
            </w:r>
          </w:p>
        </w:tc>
        <w:tc>
          <w:tcPr>
            <w:tcW w:type="dxa" w:w="3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Direção Executiva (WBR)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DEC-*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Entrada/saída de INIT P1/P2</w:t>
            </w:r>
          </w:p>
        </w:tc>
        <w:tc>
          <w:tcPr>
            <w:tcW w:type="dxa" w:w="3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Direção Executiva (MBR)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DEC-*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Alteração de KR/KPI vinculado</w:t>
            </w:r>
          </w:p>
        </w:tc>
        <w:tc>
          <w:tcPr>
            <w:tcW w:type="dxa" w:w="3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Direção Executiva + atualização DOC 06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DEC-* + LOG-REV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Violação de WIP limit</w:t>
            </w:r>
          </w:p>
        </w:tc>
        <w:tc>
          <w:tcPr>
            <w:tcW w:type="dxa" w:w="3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Direção Executiva + justificativa formal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DEC-*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Rebalanceamento entre motores</w:t>
            </w:r>
          </w:p>
        </w:tc>
        <w:tc>
          <w:tcPr>
            <w:tcW w:type="dxa" w:w="32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QBR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DEC-* + nova versão carteira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after="180" w:before="360"/>
      </w:pPr>
      <w:r>
        <w:rPr>
          <w:rFonts w:ascii="Calibri Light" w:cs="Calibri Light" w:eastAsia="Calibri Light" w:hAnsi="Calibri Light"/>
          <w:b/>
          <w:bCs/>
          <w:i w:val="false"/>
          <w:iCs w:val="false"/>
          <w:color w:val="2980B9"/>
          <w:sz w:val="30"/>
          <w:szCs w:val="30"/>
        </w:rPr>
        <w:t xml:space="preserve">11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Rastreabilidade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11.1  Três registros obrigatórios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26"/>
        <w:gridCol w:w="2400"/>
      </w:tblGrid>
      <w:tr>
        <w:trPr>
          <w:tblHeader/>
        </w:trPr>
        <w:tc>
          <w:tcPr>
            <w:tcW w:type="dxa" w:w="22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Registro</w:t>
            </w:r>
          </w:p>
        </w:tc>
        <w:tc>
          <w:tcPr>
            <w:tcW w:type="dxa" w:w="4426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Conteúdo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Cadência de atualização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LOG-REV-2026</w:t>
            </w:r>
          </w:p>
        </w:tc>
        <w:tc>
          <w:tcPr>
            <w:tcW w:type="dxa" w:w="44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Revisões por documento (o que mudou, por quê, impacto)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 cada revisão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LOG-DEC-2026</w:t>
            </w:r>
          </w:p>
        </w:tc>
        <w:tc>
          <w:tcPr>
            <w:tcW w:type="dxa" w:w="44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Decisões relevantes (prioridade, estrutura, metas, trade-offs)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WBR/MBR/QBR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MAP-TRC-2026</w:t>
            </w:r>
          </w:p>
        </w:tc>
        <w:tc>
          <w:tcPr>
            <w:tcW w:type="dxa" w:w="44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Mapa de rastreabilidade: OKR → KR → INIT → EVID → KPI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 (MBR)</w:t>
            </w:r>
          </w:p>
        </w:tc>
      </w:tr>
    </w:tbl>
    <w:p>
      <w:pPr>
        <w:spacing w:after="0" w:before="4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11.2  Mapa de vinculação INIT → KR (DOC 06 v2)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026"/>
        <w:gridCol w:w="3000"/>
      </w:tblGrid>
      <w:tr>
        <w:trPr>
          <w:tblHeader/>
        </w:trPr>
        <w:tc>
          <w:tcPr>
            <w:tcW w:type="dxa" w:w="10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INIT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KR principal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KRs secundários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Motor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001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P2.3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P2.5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002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P2.4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P2.5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003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P4.3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P2.x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004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P4.1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P4.2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005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P3.5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P2.x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006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P1.2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P1.3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007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P1.1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008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P3.2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M3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009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P3.3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P3.4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M3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010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P4.2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P4.1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M4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011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P4.5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M4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012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P5.4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M5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013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P5.5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M5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014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P4.5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M4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015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P5.4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P3.x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M5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016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P5.4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P2.x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M5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017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P2.x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018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P2.x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019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P1.5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020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P4.4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M4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021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P2.x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P5.4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022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P5.3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M5</w:t>
            </w:r>
          </w:p>
        </w:tc>
      </w:tr>
    </w:tbl>
    <w:p>
      <w:pPr>
        <w:spacing w:after="0" w:before="4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11.3  Regra para mudanças em KPIs e OKRs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 um KPI/KR for alterado: (1) registrar no LOG-DEC; (2) atualizar o documento origem (DOC 05 ou DOC 06) com nova versão; (3) atualizar o MAP-TRC apontando quais INITs mudam junto; (4) atualizar o placar se for fonte operacional.</w:t>
      </w:r>
    </w:p>
    <w:p>
      <w:r>
        <w:br w:type="page"/>
      </w:r>
    </w:p>
    <w:p>
      <w:pPr>
        <w:pBdr>
          <w:bottom w:val="single" w:color="2980B9" w:sz="6" w:space="4"/>
        </w:pBdr>
        <w:spacing w:after="180" w:before="360"/>
      </w:pPr>
      <w:r>
        <w:rPr>
          <w:rFonts w:ascii="Calibri Light" w:cs="Calibri Light" w:eastAsia="Calibri Light" w:hAnsi="Calibri Light"/>
          <w:b/>
          <w:bCs/>
          <w:i w:val="false"/>
          <w:iCs w:val="false"/>
          <w:color w:val="2980B9"/>
          <w:sz w:val="30"/>
          <w:szCs w:val="30"/>
        </w:rPr>
        <w:t xml:space="preserve">12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Glossário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026"/>
            <w:tcBorders>
              <w:top w:val="none" w:sz="0"/>
              <w:left w:val="none" w:sz="0"/>
              <w:bottom w:val="single" w:color="2980B9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Carteira de iniciativas (portfólio)</w:t>
            </w:r>
          </w:p>
        </w:tc>
        <w:tc>
          <w:tcPr>
            <w:tcW w:type="dxa" w:w="6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Conjunto único e priorizado de iniciativas estratégicas do ano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Iniciativa (INIT-*)</w:t>
            </w:r>
          </w:p>
        </w:tc>
        <w:tc>
          <w:tcPr>
            <w:tcW w:type="dxa" w:w="6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Unidade executável que move um KR; tem dono, prazo, capacidade, custo e evidência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Evidência (EVID-*)</w:t>
            </w:r>
          </w:p>
        </w:tc>
        <w:tc>
          <w:tcPr>
            <w:tcW w:type="dxa" w:w="6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Prova objetiva de entrega/conclusão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Registro de decisões (DEC-*)</w:t>
            </w:r>
          </w:p>
        </w:tc>
        <w:tc>
          <w:tcPr>
            <w:tcW w:type="dxa" w:w="6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Histórico formal de decisões, motivos e impactos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WIP limit</w:t>
            </w:r>
          </w:p>
        </w:tc>
        <w:tc>
          <w:tcPr>
            <w:tcW w:type="dxa" w:w="6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Limite máximo de iniciativas ativas simultâneas por motor — controla dispersão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Envelope financeiro</w:t>
            </w:r>
          </w:p>
        </w:tc>
        <w:tc>
          <w:tcPr>
            <w:tcW w:type="dxa" w:w="6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Limite macro de investimento do portfólio, compatível com cenários do DOC 07 v2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Motor</w:t>
            </w:r>
          </w:p>
        </w:tc>
        <w:tc>
          <w:tcPr>
            <w:tcW w:type="dxa" w:w="6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Agrupamento temático de iniciativas alinhado aos pilares do PE (M1–M5)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Ordem de grandeza</w:t>
            </w:r>
          </w:p>
        </w:tc>
        <w:tc>
          <w:tcPr>
            <w:tcW w:type="dxa" w:w="6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Estimativa de custo com faixa (ex.: R$ 20–40K), não orçamento detalhado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Pareto</w:t>
            </w:r>
          </w:p>
        </w:tc>
        <w:tc>
          <w:tcPr>
            <w:tcW w:type="dxa" w:w="6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Priorização dos itens de maior impacto (ex.: Top-14 por saldo)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Vazão (run-rate)</w:t>
            </w:r>
          </w:p>
        </w:tc>
        <w:tc>
          <w:tcPr>
            <w:tcW w:type="dxa" w:w="6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Ritmo de execução por tempo (ha/semana ou ha/mês)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Padrão transacionável (sell-ready)</w:t>
            </w:r>
          </w:p>
        </w:tc>
        <w:tc>
          <w:tcPr>
            <w:tcW w:type="dxa" w:w="6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Maturidade de gestão compatível com auditoria e diligência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Ativação condicional</w:t>
            </w:r>
          </w:p>
        </w:tc>
        <w:tc>
          <w:tcPr>
            <w:tcW w:type="dxa" w:w="6026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 que só inicia quando gatilho ou pré-condição é cumprido</w:t>
            </w:r>
          </w:p>
        </w:tc>
      </w:tr>
    </w:tbl>
    <w:p>
      <w:pPr>
        <w:spacing w:after="0" w:before="120"/>
      </w:pPr>
    </w:p>
    <w:p>
      <w:pPr>
        <w:pBdr>
          <w:bottom w:val="single" w:color="2980B9" w:sz="6" w:space="4"/>
        </w:pBdr>
        <w:spacing w:after="180" w:before="360"/>
      </w:pPr>
      <w:r>
        <w:rPr>
          <w:rFonts w:ascii="Calibri Light" w:cs="Calibri Light" w:eastAsia="Calibri Light" w:hAnsi="Calibri Light"/>
          <w:b/>
          <w:bCs/>
          <w:i w:val="false"/>
          <w:iCs w:val="false"/>
          <w:color w:val="2980B9"/>
          <w:sz w:val="30"/>
          <w:szCs w:val="30"/>
        </w:rPr>
        <w:t xml:space="preserve">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Conclusão</w:t>
      </w: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 Carteira Estratégica v2.0 transforma o PE2026 em execução com disciplina e restrição financeira. A adição de dimensionamento por iniciativa (LR-01), WIP limits e envelope financeiro consolidado garante que o portfólio é verificável contra os cenários de receita e margem. Em 2026, a monetização da base contratual não será vencida por esforço isolado, mas por método, cadência, integração entre áreas, foco sustentado nos poucos pontos que destravam resultado — e respeito ao orçamento que dá credibilidade ao plano.</w:t>
      </w:r>
    </w:p>
    <w:p>
      <w:pPr>
        <w:spacing w:after="0" w:before="40"/>
      </w:pPr>
    </w:p>
    <w:p>
      <w:pPr>
        <w:spacing w:after="60" w:before="60" w:line="264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94A3B8"/>
          <w:sz w:val="18"/>
          <w:szCs w:val="18"/>
        </w:rPr>
        <w:t xml:space="preserve">Documento revisado em 01/mar/2026 como parte do Bloco B5 (Integração e Rastreabilidade) do PE2026.</w:t>
      </w:r>
    </w:p>
    <w:sectPr>
      <w:headerReference w:type="default" r:id="rId7"/>
      <w:footerReference w:type="default" r:id="rId8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before="0"/>
    </w:pPr>
    <w:r>
      <w:rPr>
        <w:rFonts w:ascii="Calibri" w:cs="Calibri" w:eastAsia="Calibri" w:hAnsi="Calibri"/>
        <w:b w:val="false"/>
        <w:bCs w:val="false"/>
        <w:i w:val="false"/>
        <w:iCs w:val="false"/>
        <w:color w:val="94A3B8"/>
        <w:sz w:val="14"/>
        <w:szCs w:val="14"/>
      </w:rPr>
      <w:t xml:space="preserve">Confidencial — Uso interno da Direção</w:t>
    </w:r>
    <w:r>
      <w:ptab w:alignment="right" w:relativeTo="margin" w:leader="none"/>
    </w:r>
    <w:r>
      <w:rPr>
        <w:rFonts w:ascii="Calibri" w:cs="Calibri" w:eastAsia="Calibri" w:hAnsi="Calibri"/>
        <w:b w:val="false"/>
        <w:bCs w:val="false"/>
        <w:i w:val="false"/>
        <w:iCs w:val="false"/>
        <w:color w:val="94A3B8"/>
        <w:sz w:val="14"/>
        <w:szCs w:val="14"/>
      </w:rPr>
      <w:t xml:space="preserve">Página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94A3B8"/>
        <w:sz w:val="14"/>
        <w:szCs w:val="14"/>
      </w:rPr>
      <w:t xml:space="preserve"> |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4A3B8" w:sz="4" w:space="4"/>
      </w:pBdr>
      <w:spacing w:after="0"/>
    </w:pPr>
    <w:r>
      <w:rPr>
        <w:rFonts w:ascii="Calibri Light" w:cs="Calibri Light" w:eastAsia="Calibri Light" w:hAnsi="Calibri Light"/>
        <w:b w:val="false"/>
        <w:bCs w:val="false"/>
        <w:i w:val="false"/>
        <w:iCs w:val="false"/>
        <w:color w:val="94A3B8"/>
        <w:sz w:val="16"/>
        <w:szCs w:val="16"/>
      </w:rPr>
      <w:t xml:space="preserve">PE 2026</w:t>
    </w:r>
    <w:r>
      <w:rPr>
        <w:rFonts w:ascii="Calibri Light" w:cs="Calibri Light" w:eastAsia="Calibri Light" w:hAnsi="Calibri Light"/>
        <w:b w:val="false"/>
        <w:bCs w:val="false"/>
        <w:i w:val="false"/>
        <w:iCs w:val="false"/>
        <w:color w:val="2980B9"/>
        <w:sz w:val="16"/>
        <w:szCs w:val="16"/>
      </w:rPr>
      <w:t xml:space="preserve">  |  Carteira Estratégica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2026-03-02T00:18:18.648Z</dcterms:created>
  <dcterms:modified xsi:type="dcterms:W3CDTF">2026-03-02T00:18:18.650Z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