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pBdr>
          <w:bottom w:val="single" w:color="2980B9" w:sz="8" w:space="12"/>
        </w:pBdr>
      </w:pPr>
      <w:r>
        <w:rPr>
          <w:rFonts w:ascii="Calibri Light" w:cs="Calibri Light" w:eastAsia="Calibri Light" w:hAnsi="Calibri Light"/>
          <w:b/>
          <w:bCs/>
          <w:color w:val="2980B9"/>
          <w:sz w:val="52"/>
          <w:szCs w:val="52"/>
        </w:rPr>
        <w:t xml:space="preserve">DOC 10</w:t>
      </w:r>
    </w:p>
    <w:p>
      <w:pPr>
        <w:spacing w:after="120" w:before="200"/>
      </w:pPr>
      <w:r>
        <w:rPr>
          <w:rFonts w:ascii="Calibri Light" w:cs="Calibri Light" w:eastAsia="Calibri Light" w:hAnsi="Calibri Light"/>
          <w:color w:val="0C2340"/>
          <w:sz w:val="40"/>
          <w:szCs w:val="40"/>
        </w:rPr>
        <w:t xml:space="preserve">Plano de Riscos 2026</w:t>
      </w:r>
    </w:p>
    <w:p>
      <w:pPr>
        <w:spacing w:after="400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Mapa, gatilhos, mitigação, contingência e protocolos de resposta (Aero + Techdengue)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Versão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2.0 (revisão fev/2026)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Versão anterior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1.1 (15/jan/2026)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Bloco de origem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Bloco 1 — Recalibração Estratégica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Lacunas endereçadas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LC-07 (regulatória expirada), LC-06 (Comercial como área em criação)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Classificação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Confidencial — Uso interno da Direção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Cláudio Ribeiro — Direção Executiva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Escopo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Gestão de riscos do PE2026 (Aero + Techdengue)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Uso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WBR / MBR / QBR — documento de controle e proteção do plano</w:t>
            </w:r>
          </w:p>
        </w:tc>
      </w:tr>
    </w:tbl>
    <w:p>
      <w:pPr>
        <w:spacing w:after="120" w:before="300"/>
      </w:pPr>
      <w:r>
        <w:rPr>
          <w:rFonts w:ascii="Calibri" w:cs="Calibri" w:eastAsia="Calibri" w:hAnsi="Calibri"/>
          <w:b/>
          <w:bCs/>
          <w:color w:val="B8860B"/>
          <w:sz w:val="19"/>
          <w:szCs w:val="19"/>
        </w:rPr>
        <w:t xml:space="preserve">Nota de revisão v2.0: </w:t>
      </w:r>
      <w:r>
        <w:rPr>
          <w:rFonts w:ascii="Calibri" w:cs="Calibri" w:eastAsia="Calibri" w:hAnsi="Calibri"/>
          <w:i/>
          <w:iCs/>
          <w:color w:val="334155"/>
          <w:sz w:val="19"/>
          <w:szCs w:val="19"/>
        </w:rPr>
        <w:t xml:space="preserve">Três calibrações materiais: (1) RSK-2026-01 reescrito — a Resolução SES/MG 9.035/2023 expirou, risco regulatório é realidade confirmada; (2) RSK-2026-05 ajustado — referência a Comercial (New Biz) corrigida para área em criação; (3) novo RSK-2026-13 adicionado — atraso nas contratações prioritárias como risco estrutural. Estrutura e demais riscos preservados.</w:t>
      </w:r>
    </w:p>
    <w:p>
      <w:r>
        <w:r>
          <w:br w:type="page"/>
        </w:r>
      </w:r>
    </w:p>
    <w:p>
      <w:pPr>
        <w:pBdr>
          <w:bottom w:val="single" w:color="2980B9" w:sz="6" w:space="4"/>
        </w:pBdr>
        <w:spacing w:after="200" w:before="3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1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Como este plano será usado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Este documento não é para registrar medo. Ele existe para evitar surpresa e reduzir improviso. O centro do risco de 2026 está definido: contrato não garante execução. O plano organiza detecção precoce, prevenção e resposta — com foco explícito na conversão da base contratual dentro das janelas institucionais e regulatórias.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Regras de uso (obrigatórias)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Risco só é útil se tiver gatilho. Se não existe sinal objetivo, vira preocupação genérica.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Risco só é gerenciável se tiver dono e plano. Todo risco crítico precisa de responsável claro e plano ativo (mitigação + contingência).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Risco é pauta de cadência: WBR (semanal) — riscos de execução, ativação, capacidade e qualidade. MBR (mensal) — riscos estruturais (margem, caixa, governança, pessoas). QBR (trimestral) — riscos estratégicos (crescimento, separação, preparação para transação).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Toda intervenção executiva exige registro. Quando risco sobe para nível executivo, gera DEC (decisão) e EVID (evidência).</w:t>
      </w:r>
    </w:p>
    <w:p>
      <w:pPr>
        <w:pBdr>
          <w:bottom w:val="single" w:color="2980B9" w:sz="6" w:space="4"/>
        </w:pBdr>
        <w:spacing w:after="200" w:before="3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2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Estrutura oficial do Registro de Riscos (RSK)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Todo risco entra no registro com formato padronizado: RSK-ID, categoria, descrição objetiva, impacto (alto/médio/baixo), probabilidade (alta/média/baixa), exposição (prioridade resultante), gatilhos, indicadores associados (DOC 05), mitigação (preventivo), contingência (se materializar), dono, cadência, evidência mínima (EVID) e decisões relacionadas (DEC).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Categorias válidas: regulatório, institucional, comercial, operação, financeiro, pessoas, tecnologia/dados e reputação.</w:t>
      </w:r>
    </w:p>
    <w:p>
      <w:pPr>
        <w:pBdr>
          <w:bottom w:val="single" w:color="2980B9" w:sz="6" w:space="4"/>
        </w:pBdr>
        <w:spacing w:after="200" w:before="3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3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Mapa de riscos 2026 — visão executiva</w:t>
      </w:r>
    </w:p>
    <w:p>
      <w:pPr>
        <w:pBdr>
          <w:left w:val="single" w:color="B8860B" w:sz="12" w:space="8"/>
        </w:pBdr>
        <w:shd w:fill="FFF8E1" w:val="clear"/>
        <w:spacing w:after="120" w:before="120"/>
        <w:ind w:left="200" w:right="200"/>
      </w:pPr>
      <w:r>
        <w:rPr>
          <w:rFonts w:ascii="Calibri" w:cs="Calibri" w:eastAsia="Calibri" w:hAnsi="Calibri"/>
          <w:b/>
          <w:bCs/>
          <w:color w:val="B8860B"/>
          <w:sz w:val="19"/>
          <w:szCs w:val="19"/>
        </w:rPr>
        <w:t xml:space="preserve">⚡ Calibração Bloco 1 (fev/2026): </w:t>
      </w:r>
      <w:r>
        <w:rPr>
          <w:rFonts w:ascii="Calibri" w:cs="Calibri" w:eastAsia="Calibri" w:hAnsi="Calibri"/>
          <w:i/>
          <w:iCs/>
          <w:color w:val="334155"/>
          <w:sz w:val="19"/>
          <w:szCs w:val="19"/>
        </w:rPr>
        <w:t xml:space="preserve">Mapa atualizado em fev/2026 com 3 alterações: RSK-01 reclassificado (regulatório é realidade, não risco futuro), RSK-05 ajustado (área Comercial em criação), RSK-13 adicionado (atraso nas contratações prioritárias).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Nível 1 — Críticos (tratamento ativo imediato)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500"/>
        <w:gridCol w:w="1500"/>
      </w:tblGrid>
      <w:tr>
        <w:tc>
          <w:tcPr>
            <w:tcW w:type="dxa" w:w="1200"/>
            <w:tcBorders>
              <w:top w:val="none" w:sz="0"/>
              <w:left w:val="none" w:sz="0"/>
              <w:bottom w:val="single" w:color="0C2340" w:sz="6"/>
              <w:right w:val="none" w:sz="0"/>
            </w:tcBorders>
            <w:shd w:fill="0C23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160"/>
            <w:tcBorders>
              <w:top w:val="none" w:sz="0"/>
              <w:left w:val="none" w:sz="0"/>
              <w:bottom w:val="single" w:color="0C2340" w:sz="6"/>
              <w:right w:val="none" w:sz="0"/>
            </w:tcBorders>
            <w:shd w:fill="0C23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Risco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single" w:color="0C2340" w:sz="6"/>
              <w:right w:val="none" w:sz="0"/>
            </w:tcBorders>
            <w:shd w:fill="0C23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Exposição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single" w:color="0C2340" w:sz="6"/>
              <w:right w:val="none" w:sz="0"/>
            </w:tcBorders>
            <w:shd w:fill="0C23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Cadência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980B9"/>
                <w:sz w:val="18"/>
                <w:szCs w:val="18"/>
              </w:rPr>
              <w:t xml:space="preserve">RSK-01</w:t>
            </w:r>
          </w:p>
        </w:tc>
        <w:tc>
          <w:tcPr>
            <w:tcW w:type="dxa" w:w="51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Realidade regulatória: Res. 9.035/2023 expirou — impacto na execução do saldo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CRÍTICA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4748B"/>
                <w:sz w:val="17"/>
                <w:szCs w:val="17"/>
              </w:rPr>
              <w:t xml:space="preserve">Semanal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980B9"/>
                <w:sz w:val="18"/>
                <w:szCs w:val="18"/>
              </w:rPr>
              <w:t xml:space="preserve">RSK-02</w:t>
            </w:r>
          </w:p>
        </w:tc>
        <w:tc>
          <w:tcPr>
            <w:tcW w:type="dxa" w:w="51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Contrato não vira execução: baixa ativação de demanda e queda de vazão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CRÍTICA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4748B"/>
                <w:sz w:val="17"/>
                <w:szCs w:val="17"/>
              </w:rPr>
              <w:t xml:space="preserve">Semanal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980B9"/>
                <w:sz w:val="18"/>
                <w:szCs w:val="18"/>
              </w:rPr>
              <w:t xml:space="preserve">RSK-03</w:t>
            </w:r>
          </w:p>
        </w:tc>
        <w:tc>
          <w:tcPr>
            <w:tcW w:type="dxa" w:w="51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Capacidade insuficiente no Q1: perda de janela por falta de prontidão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CRÍTICA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4748B"/>
                <w:sz w:val="17"/>
                <w:szCs w:val="17"/>
              </w:rPr>
              <w:t xml:space="preserve">Semanal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980B9"/>
                <w:sz w:val="18"/>
                <w:szCs w:val="18"/>
              </w:rPr>
              <w:t xml:space="preserve">RSK-04</w:t>
            </w:r>
          </w:p>
        </w:tc>
        <w:tc>
          <w:tcPr>
            <w:tcW w:type="dxa" w:w="51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Deterioração de qualidade e retrabalho: queda de vazão + desgaste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CRÍTICA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4748B"/>
                <w:sz w:val="17"/>
                <w:szCs w:val="17"/>
              </w:rPr>
              <w:t xml:space="preserve">Semanal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980B9"/>
                <w:sz w:val="18"/>
                <w:szCs w:val="18"/>
              </w:rPr>
              <w:t xml:space="preserve">RSK-05</w:t>
            </w:r>
          </w:p>
        </w:tc>
        <w:tc>
          <w:tcPr>
            <w:tcW w:type="dxa" w:w="51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Concentração de receita: exposição excessiva a poucos clientes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CRÍTICA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4748B"/>
                <w:sz w:val="17"/>
                <w:szCs w:val="17"/>
              </w:rPr>
              <w:t xml:space="preserve">Mensal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Nível 2 — Altos (tratamento estruturado e revisão mensal)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500"/>
        <w:gridCol w:w="1500"/>
      </w:tblGrid>
      <w:tr>
        <w:tc>
          <w:tcPr>
            <w:tcW w:type="dxa" w:w="1200"/>
            <w:tcBorders>
              <w:top w:val="none" w:sz="0"/>
              <w:left w:val="none" w:sz="0"/>
              <w:bottom w:val="single" w:color="0C2340" w:sz="6"/>
              <w:right w:val="none" w:sz="0"/>
            </w:tcBorders>
            <w:shd w:fill="0C23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160"/>
            <w:tcBorders>
              <w:top w:val="none" w:sz="0"/>
              <w:left w:val="none" w:sz="0"/>
              <w:bottom w:val="single" w:color="0C2340" w:sz="6"/>
              <w:right w:val="none" w:sz="0"/>
            </w:tcBorders>
            <w:shd w:fill="0C23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Risco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single" w:color="0C2340" w:sz="6"/>
              <w:right w:val="none" w:sz="0"/>
            </w:tcBorders>
            <w:shd w:fill="0C23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Exposição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single" w:color="0C2340" w:sz="6"/>
              <w:right w:val="none" w:sz="0"/>
            </w:tcBorders>
            <w:shd w:fill="0C23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Cadência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980B9"/>
                <w:sz w:val="18"/>
                <w:szCs w:val="18"/>
              </w:rPr>
              <w:t xml:space="preserve">RSK-06</w:t>
            </w:r>
          </w:p>
        </w:tc>
        <w:tc>
          <w:tcPr>
            <w:tcW w:type="dxa" w:w="51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Pressão de caixa: desalinhamento execução × faturamento × recebimento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7"/>
                <w:szCs w:val="17"/>
              </w:rPr>
              <w:t xml:space="preserve">ALTA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4748B"/>
                <w:sz w:val="17"/>
                <w:szCs w:val="17"/>
              </w:rPr>
              <w:t xml:space="preserve">Semanal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980B9"/>
                <w:sz w:val="18"/>
                <w:szCs w:val="18"/>
              </w:rPr>
              <w:t xml:space="preserve">RSK-07</w:t>
            </w:r>
          </w:p>
        </w:tc>
        <w:tc>
          <w:tcPr>
            <w:tcW w:type="dxa" w:w="51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Falhas de interface entre áreas: Operação × CS × Comercial × Dados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7"/>
                <w:szCs w:val="17"/>
              </w:rPr>
              <w:t xml:space="preserve">ALTA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4748B"/>
                <w:sz w:val="17"/>
                <w:szCs w:val="17"/>
              </w:rPr>
              <w:t xml:space="preserve">Semanal Q1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980B9"/>
                <w:sz w:val="18"/>
                <w:szCs w:val="18"/>
              </w:rPr>
              <w:t xml:space="preserve">RSK-08</w:t>
            </w:r>
          </w:p>
        </w:tc>
        <w:tc>
          <w:tcPr>
            <w:tcW w:type="dxa" w:w="51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Turnover e perda de densidade intelectual em posições críticas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7"/>
                <w:szCs w:val="17"/>
              </w:rPr>
              <w:t xml:space="preserve">ALTA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4748B"/>
                <w:sz w:val="17"/>
                <w:szCs w:val="17"/>
              </w:rPr>
              <w:t xml:space="preserve">Mensal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980B9"/>
                <w:sz w:val="18"/>
                <w:szCs w:val="18"/>
              </w:rPr>
              <w:t xml:space="preserve">RSK-09</w:t>
            </w:r>
          </w:p>
        </w:tc>
        <w:tc>
          <w:tcPr>
            <w:tcW w:type="dxa" w:w="51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Atraso na separação gerencial Aero × Techdengue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7"/>
                <w:szCs w:val="17"/>
              </w:rPr>
              <w:t xml:space="preserve">ALTA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4748B"/>
                <w:sz w:val="17"/>
                <w:szCs w:val="17"/>
              </w:rPr>
              <w:t xml:space="preserve">Mensal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980B9"/>
                <w:sz w:val="18"/>
                <w:szCs w:val="18"/>
              </w:rPr>
              <w:t xml:space="preserve">RSK-10</w:t>
            </w:r>
          </w:p>
        </w:tc>
        <w:tc>
          <w:tcPr>
            <w:tcW w:type="dxa" w:w="51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Fragilidade de dados e evidências para decisão e ativação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7"/>
                <w:szCs w:val="17"/>
              </w:rPr>
              <w:t xml:space="preserve">ALTA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4748B"/>
                <w:sz w:val="17"/>
                <w:szCs w:val="17"/>
              </w:rPr>
              <w:t xml:space="preserve">Mensal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980B9"/>
                <w:sz w:val="18"/>
                <w:szCs w:val="18"/>
              </w:rPr>
              <w:t xml:space="preserve">RSK-13</w:t>
            </w:r>
          </w:p>
        </w:tc>
        <w:tc>
          <w:tcPr>
            <w:tcW w:type="dxa" w:w="51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Atraso nas contratações prioritárias (COO + Comercial)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7"/>
                <w:szCs w:val="17"/>
              </w:rPr>
              <w:t xml:space="preserve">ALTA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4748B"/>
                <w:sz w:val="17"/>
                <w:szCs w:val="17"/>
              </w:rPr>
              <w:t xml:space="preserve">Mensal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Nível 3 — Monitorados (prevenção e acompanhamento)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500"/>
        <w:gridCol w:w="1500"/>
      </w:tblGrid>
      <w:tr>
        <w:tc>
          <w:tcPr>
            <w:tcW w:type="dxa" w:w="1200"/>
            <w:tcBorders>
              <w:top w:val="none" w:sz="0"/>
              <w:left w:val="none" w:sz="0"/>
              <w:bottom w:val="single" w:color="0C2340" w:sz="6"/>
              <w:right w:val="none" w:sz="0"/>
            </w:tcBorders>
            <w:shd w:fill="0C23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160"/>
            <w:tcBorders>
              <w:top w:val="none" w:sz="0"/>
              <w:left w:val="none" w:sz="0"/>
              <w:bottom w:val="single" w:color="0C2340" w:sz="6"/>
              <w:right w:val="none" w:sz="0"/>
            </w:tcBorders>
            <w:shd w:fill="0C23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Risco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single" w:color="0C2340" w:sz="6"/>
              <w:right w:val="none" w:sz="0"/>
            </w:tcBorders>
            <w:shd w:fill="0C23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Exposição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single" w:color="0C2340" w:sz="6"/>
              <w:right w:val="none" w:sz="0"/>
            </w:tcBorders>
            <w:shd w:fill="0C23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Cadência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980B9"/>
                <w:sz w:val="18"/>
                <w:szCs w:val="18"/>
              </w:rPr>
              <w:t xml:space="preserve">RSK-11</w:t>
            </w:r>
          </w:p>
        </w:tc>
        <w:tc>
          <w:tcPr>
            <w:tcW w:type="dxa" w:w="51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Crescimento externo sem tese: dispersão e queda de margem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CA8"/>
                <w:sz w:val="17"/>
                <w:szCs w:val="17"/>
              </w:rPr>
              <w:t xml:space="preserve">MODERADA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4748B"/>
                <w:sz w:val="17"/>
                <w:szCs w:val="17"/>
              </w:rPr>
              <w:t xml:space="preserve">Trimestral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980B9"/>
                <w:sz w:val="18"/>
                <w:szCs w:val="18"/>
              </w:rPr>
              <w:t xml:space="preserve">RSK-12</w:t>
            </w:r>
          </w:p>
        </w:tc>
        <w:tc>
          <w:tcPr>
            <w:tcW w:type="dxa" w:w="51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Dependência excessiva de pessoas-chave: risco de continuidade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CA8"/>
                <w:sz w:val="17"/>
                <w:szCs w:val="17"/>
              </w:rPr>
              <w:t xml:space="preserve">MODERADA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4748B"/>
                <w:sz w:val="17"/>
                <w:szCs w:val="17"/>
              </w:rPr>
              <w:t xml:space="preserve">Trimestral</w:t>
            </w:r>
          </w:p>
        </w:tc>
      </w:tr>
    </w:tbl>
    <w:p>
      <w:r>
        <w:r>
          <w:br w:type="page"/>
        </w:r>
      </w:r>
    </w:p>
    <w:p>
      <w:pPr>
        <w:pBdr>
          <w:bottom w:val="single" w:color="2980B9" w:sz="6" w:space="4"/>
        </w:pBdr>
        <w:spacing w:after="200" w:before="3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4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Riscos críticos detalhados (Nível 1)</w:t>
      </w:r>
    </w:p>
    <w:p>
      <w:pPr>
        <w:pBdr>
          <w:left w:val="single" w:color="C0392B" w:sz="14" w:space="8"/>
        </w:pBdr>
        <w:shd w:fill="FFF5F5" w:val="clear"/>
        <w:spacing w:after="120" w:before="280"/>
        <w:ind w:left="12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RSK-2026-01 — </w:t>
      </w:r>
      <w:r>
        <w:rPr>
          <w:rFonts w:ascii="Calibri" w:cs="Calibri" w:eastAsia="Calibri" w:hAnsi="Calibri"/>
          <w:b/>
          <w:bCs/>
          <w:color w:val="0C2340"/>
          <w:sz w:val="22"/>
          <w:szCs w:val="22"/>
        </w:rPr>
        <w:t xml:space="preserve">Realidade regulatória: Res. 9.035/2023 expirou</w:t>
      </w:r>
      <w:r>
        <w:rPr>
          <w:rFonts w:ascii="Calibri" w:cs="Calibri" w:eastAsia="Calibri" w:hAnsi="Calibri"/>
          <w:b/>
          <w:bCs/>
          <w:color w:val="C0392B"/>
          <w:sz w:val="18"/>
          <w:szCs w:val="18"/>
        </w:rPr>
        <w:t xml:space="preserve">  [CRÍTICO]</w:t>
      </w:r>
    </w:p>
    <w:p>
      <w:pPr>
        <w:pBdr>
          <w:left w:val="single" w:color="C0392B" w:sz="12" w:space="8"/>
        </w:pBdr>
        <w:shd w:fill="FFF5F5" w:val="clear"/>
        <w:spacing w:after="120" w:before="120"/>
        <w:ind w:left="200" w:right="200"/>
      </w:pPr>
      <w:r>
        <w:rPr>
          <w:rFonts w:ascii="Calibri" w:cs="Calibri" w:eastAsia="Calibri" w:hAnsi="Calibri"/>
          <w:b/>
          <w:bCs/>
          <w:color w:val="C0392B"/>
          <w:sz w:val="19"/>
          <w:szCs w:val="19"/>
        </w:rPr>
        <w:t xml:space="preserve">RISCO RECLASSIFICADO NA V2.0 — Não é mais "risco de janela regulatória". A Resolução SES/MG 9.035/2023 expirou em 31/12/2025. O período de monitoramento até 31/03/2026 é fato confirmado. A Res. 10.402/2025 alterou dispositivos da 9.035/2023, mas seus efeitos práticos no regime de financiamento e exigências estão em consolidação.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color w:val="64748B"/>
          <w:sz w:val="19"/>
          <w:szCs w:val="19"/>
        </w:rPr>
        <w:t xml:space="preserve">Categoria: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Regulatório / Institucional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color w:val="64748B"/>
          <w:sz w:val="19"/>
          <w:szCs w:val="19"/>
        </w:rPr>
        <w:t xml:space="preserve">Descrição: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A expiração da Res. SES/MG 9.035/2023 em 31/12/2025 criou incerteza real sobre o regime que sucede o programa. O período de monitoramento até 31/03/2026 mantém obrigações residuais mas não garante continuidade de financiamento nem de demanda nos mesmos termos. Isso impacta velocidade de execução, capacidade de ativação de demanda e previsibilidade de receita no Q1/Q2.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color w:val="64748B"/>
          <w:sz w:val="19"/>
          <w:szCs w:val="19"/>
        </w:rPr>
        <w:t xml:space="preserve">Impacto: </w:t>
      </w:r>
      <w:r>
        <w:rPr>
          <w:rFonts w:ascii="Calibri" w:cs="Calibri" w:eastAsia="Calibri" w:hAnsi="Calibri"/>
          <w:color w:val="C0392B"/>
          <w:sz w:val="19"/>
          <w:szCs w:val="19"/>
        </w:rPr>
        <w:t xml:space="preserve">ALTÍSSIMO (receita, previsibilidade e tese do ano)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color w:val="64748B"/>
          <w:sz w:val="19"/>
          <w:szCs w:val="19"/>
        </w:rPr>
        <w:t xml:space="preserve">Probabilidade: </w:t>
      </w:r>
      <w:r>
        <w:rPr>
          <w:rFonts w:ascii="Calibri" w:cs="Calibri" w:eastAsia="Calibri" w:hAnsi="Calibri"/>
          <w:color w:val="C0392B"/>
          <w:sz w:val="19"/>
          <w:szCs w:val="19"/>
        </w:rPr>
        <w:t xml:space="preserve">CONFIRMADA — risco já materializado parcialmente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color w:val="64748B"/>
          <w:sz w:val="19"/>
          <w:szCs w:val="19"/>
        </w:rPr>
        <w:t xml:space="preserve">Exposição: </w:t>
      </w:r>
      <w:r>
        <w:rPr>
          <w:rFonts w:ascii="Calibri" w:cs="Calibri" w:eastAsia="Calibri" w:hAnsi="Calibri"/>
          <w:color w:val="C0392B"/>
          <w:sz w:val="19"/>
          <w:szCs w:val="19"/>
        </w:rPr>
        <w:t xml:space="preserve">CRÍTICA</w:t>
      </w:r>
    </w:p>
    <w:p>
      <w:pPr>
        <w:spacing w:after="100" w:before="180"/>
      </w:pPr>
      <w:r>
        <w:rPr>
          <w:rFonts w:ascii="Calibri" w:cs="Calibri" w:eastAsia="Calibri" w:hAnsi="Calibri"/>
          <w:b/>
          <w:bCs/>
          <w:color w:val="1B6CA8"/>
          <w:sz w:val="20"/>
          <w:szCs w:val="20"/>
        </w:rPr>
        <w:t xml:space="preserve">Gatilhos (sinais objetivos)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Ausência de clareza sobre regime pós-31/03/2026 até meados de março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Contratantes Pareto com paralisia por 2 ciclos consecutivos de WBR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Agendas recorrentes desmarcadas/adiadas sem recomposição em 15 dias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Sinalização de mudança de critérios ou exigências nos termos contratuais</w:t>
      </w:r>
    </w:p>
    <w:p>
      <w:pPr>
        <w:spacing w:after="100" w:before="180"/>
      </w:pPr>
      <w:r>
        <w:rPr>
          <w:rFonts w:ascii="Calibri" w:cs="Calibri" w:eastAsia="Calibri" w:hAnsi="Calibri"/>
          <w:b/>
          <w:bCs/>
          <w:color w:val="1B6CA8"/>
          <w:sz w:val="20"/>
          <w:szCs w:val="20"/>
        </w:rPr>
        <w:t xml:space="preserve">Indicadores associados (DOC 05)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Vazão semanal (ha/semana)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Previsão 30/60/90 por Pareto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Execução acumulada (% do planejado)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Idade do saldo (tempo sem execução)</w:t>
      </w:r>
    </w:p>
    <w:p>
      <w:pPr>
        <w:spacing w:after="100" w:before="180"/>
      </w:pPr>
      <w:r>
        <w:rPr>
          <w:rFonts w:ascii="Calibri" w:cs="Calibri" w:eastAsia="Calibri" w:hAnsi="Calibri"/>
          <w:b/>
          <w:bCs/>
          <w:color w:val="1B6CA8"/>
          <w:sz w:val="20"/>
          <w:szCs w:val="20"/>
        </w:rPr>
        <w:t xml:space="preserve">Mitigação (preventivo)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Plano de choque Q1: foco total no Pareto para reduzir saldo e "ganhar tempo institucional" antes de 31/03.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Agenda institucional preventiva: agenda ativa com patrocinadores corretos, sem esperar urgência do órgão.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Pacote de evidências por contratante: relatório executivo padrão + devolutiva registrada.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Cenários prontos (DOC 07): gatilhos e decisões pré-definidas para mudança de rota rápida.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Mapeamento ativo do regime pós-31/03/2026: acompanhar a consolidação da Res. 10.402/2025 e definir posicionamento da empresa.</w:t>
      </w:r>
    </w:p>
    <w:p>
      <w:pPr>
        <w:spacing w:after="100" w:before="180"/>
      </w:pPr>
      <w:r>
        <w:rPr>
          <w:rFonts w:ascii="Calibri" w:cs="Calibri" w:eastAsia="Calibri" w:hAnsi="Calibri"/>
          <w:b/>
          <w:bCs/>
          <w:color w:val="1B6CA8"/>
          <w:sz w:val="20"/>
          <w:szCs w:val="20"/>
        </w:rPr>
        <w:t xml:space="preserve">Contingência (se escalar)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Reclassificar cenário (DOC 07) e travar dispersão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Realocar capacidade imediatamente para o Pareto ativo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Escalonamento executivo seletivo e cuidadoso (sem desgaste institucional)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Revisar timeline de contratações se impacto regulatório comprometer receita projetada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color w:val="64748B"/>
          <w:sz w:val="19"/>
          <w:szCs w:val="19"/>
        </w:rPr>
        <w:t xml:space="preserve">Dono: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Direção Executiva + Relacionamento/CS (co-dono)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color w:val="64748B"/>
          <w:sz w:val="19"/>
          <w:szCs w:val="19"/>
        </w:rPr>
        <w:t xml:space="preserve">Cadência: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Semanal no Q1; mensal após estabilização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color w:val="64748B"/>
          <w:sz w:val="19"/>
          <w:szCs w:val="19"/>
        </w:rPr>
        <w:t xml:space="preserve">Evidência mínima: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Atas de agenda + status Pareto + decisões registradas (DEC) + relatório de posicionamento regulatório</w:t>
      </w:r>
    </w:p>
    <w:p>
      <w:r>
        <w:r>
          <w:br w:type="page"/>
        </w:r>
      </w:r>
    </w:p>
    <w:p>
      <w:pPr>
        <w:pBdr>
          <w:left w:val="single" w:color="C0392B" w:sz="14" w:space="8"/>
        </w:pBdr>
        <w:shd w:fill="FFF5F5" w:val="clear"/>
        <w:spacing w:after="120" w:before="280"/>
        <w:ind w:left="12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RSK-2026-02 — </w:t>
      </w:r>
      <w:r>
        <w:rPr>
          <w:rFonts w:ascii="Calibri" w:cs="Calibri" w:eastAsia="Calibri" w:hAnsi="Calibri"/>
          <w:b/>
          <w:bCs/>
          <w:color w:val="0C2340"/>
          <w:sz w:val="22"/>
          <w:szCs w:val="22"/>
        </w:rPr>
        <w:t xml:space="preserve">Contrato não vira execução (ativação insuficiente de demanda)</w:t>
      </w:r>
      <w:r>
        <w:rPr>
          <w:rFonts w:ascii="Calibri" w:cs="Calibri" w:eastAsia="Calibri" w:hAnsi="Calibri"/>
          <w:b/>
          <w:bCs/>
          <w:color w:val="C0392B"/>
          <w:sz w:val="18"/>
          <w:szCs w:val="18"/>
        </w:rPr>
        <w:t xml:space="preserve">  [CRÍTICO]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color w:val="64748B"/>
          <w:sz w:val="19"/>
          <w:szCs w:val="19"/>
        </w:rPr>
        <w:t xml:space="preserve">Categoria: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Comercial / Relacionamento institucional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color w:val="64748B"/>
          <w:sz w:val="19"/>
          <w:szCs w:val="19"/>
        </w:rPr>
        <w:t xml:space="preserve">Descrição: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Contratos permanecerem parados por ausência de demanda acionada pelo órgão, reduzindo vazão, comprometendo receita e elevando risco de saldo não executado.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color w:val="64748B"/>
          <w:sz w:val="19"/>
          <w:szCs w:val="19"/>
        </w:rPr>
        <w:t xml:space="preserve">Impacto: </w:t>
      </w:r>
      <w:r>
        <w:rPr>
          <w:rFonts w:ascii="Calibri" w:cs="Calibri" w:eastAsia="Calibri" w:hAnsi="Calibri"/>
          <w:color w:val="C0392B"/>
          <w:sz w:val="19"/>
          <w:szCs w:val="19"/>
        </w:rPr>
        <w:t xml:space="preserve">ALTÍSSIMO (gargalo dominante de 2026)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color w:val="64748B"/>
          <w:sz w:val="19"/>
          <w:szCs w:val="19"/>
        </w:rPr>
        <w:t xml:space="preserve">Probabilidade: </w:t>
      </w:r>
      <w:r>
        <w:rPr>
          <w:rFonts w:ascii="Calibri" w:cs="Calibri" w:eastAsia="Calibri" w:hAnsi="Calibri"/>
          <w:color w:val="C0392B"/>
          <w:sz w:val="19"/>
          <w:szCs w:val="19"/>
        </w:rPr>
        <w:t xml:space="preserve">ALTA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color w:val="64748B"/>
          <w:sz w:val="19"/>
          <w:szCs w:val="19"/>
        </w:rPr>
        <w:t xml:space="preserve">Exposição: </w:t>
      </w:r>
      <w:r>
        <w:rPr>
          <w:rFonts w:ascii="Calibri" w:cs="Calibri" w:eastAsia="Calibri" w:hAnsi="Calibri"/>
          <w:color w:val="C0392B"/>
          <w:sz w:val="19"/>
          <w:szCs w:val="19"/>
        </w:rPr>
        <w:t xml:space="preserve">CRÍTICA</w:t>
      </w:r>
    </w:p>
    <w:p>
      <w:pPr>
        <w:spacing w:after="100" w:before="180"/>
      </w:pPr>
      <w:r>
        <w:rPr>
          <w:rFonts w:ascii="Calibri" w:cs="Calibri" w:eastAsia="Calibri" w:hAnsi="Calibri"/>
          <w:b/>
          <w:bCs/>
          <w:color w:val="1B6CA8"/>
          <w:sz w:val="20"/>
          <w:szCs w:val="20"/>
        </w:rPr>
        <w:t xml:space="preserve">Gatilhos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Queda de vazão por 2 semanas consecutivas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Pareto com baixa ativação no mês (contratantes sem execução no período)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Previsão 30/60/90 sem evidência (agenda, plano e aceite institucional)</w:t>
      </w:r>
    </w:p>
    <w:p>
      <w:pPr>
        <w:spacing w:after="100" w:before="180"/>
      </w:pPr>
      <w:r>
        <w:rPr>
          <w:rFonts w:ascii="Calibri" w:cs="Calibri" w:eastAsia="Calibri" w:hAnsi="Calibri"/>
          <w:b/>
          <w:bCs/>
          <w:color w:val="1B6CA8"/>
          <w:sz w:val="20"/>
          <w:szCs w:val="20"/>
        </w:rPr>
        <w:t xml:space="preserve">Mitigação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Método Pareto obrigatório (Top-14): dono por contratante, plano 7/14/30 e previsão 30/60/90 com evidência.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Playbook de ativação: indução de necessidade com prova de valor, agenda e próximos passos claros.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Pacote mensal de evidência por contratante prioritário: instrumento de decisão.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Integração Operação ↔ CS ↔ Dados: execução vira evidência rápido; evidência vira nova demanda.</w:t>
      </w:r>
    </w:p>
    <w:p>
      <w:pPr>
        <w:spacing w:after="100" w:before="180"/>
      </w:pPr>
      <w:r>
        <w:rPr>
          <w:rFonts w:ascii="Calibri" w:cs="Calibri" w:eastAsia="Calibri" w:hAnsi="Calibri"/>
          <w:b/>
          <w:bCs/>
          <w:color w:val="1B6CA8"/>
          <w:sz w:val="20"/>
          <w:szCs w:val="20"/>
        </w:rPr>
        <w:t xml:space="preserve">Contingência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Ativar Sala de Situação (ritual intensivo) com cadência reforçada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Escalonamento institucional com patrocínios corretos e comunicação cuidadosa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Replanejar capacidade para concentrar energia onde destrava vazão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color w:val="64748B"/>
          <w:sz w:val="19"/>
          <w:szCs w:val="19"/>
        </w:rPr>
        <w:t xml:space="preserve">Dono: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Relacionamento/CS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color w:val="64748B"/>
          <w:sz w:val="19"/>
          <w:szCs w:val="19"/>
        </w:rPr>
        <w:t xml:space="preserve">Cadência: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Semanal (Q1 e enquanto risco estiver ativo)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color w:val="64748B"/>
          <w:sz w:val="19"/>
          <w:szCs w:val="19"/>
        </w:rPr>
        <w:t xml:space="preserve">Evidência mínima: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Plano por contratante + agenda + previsões + relatórios + devolutivas</w:t>
      </w:r>
    </w:p>
    <w:p>
      <w:pPr>
        <w:pBdr>
          <w:left w:val="single" w:color="C0392B" w:sz="14" w:space="8"/>
        </w:pBdr>
        <w:shd w:fill="FFF5F5" w:val="clear"/>
        <w:spacing w:after="120" w:before="280"/>
        <w:ind w:left="12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RSK-2026-03 — </w:t>
      </w:r>
      <w:r>
        <w:rPr>
          <w:rFonts w:ascii="Calibri" w:cs="Calibri" w:eastAsia="Calibri" w:hAnsi="Calibri"/>
          <w:b/>
          <w:bCs/>
          <w:color w:val="0C2340"/>
          <w:sz w:val="22"/>
          <w:szCs w:val="22"/>
        </w:rPr>
        <w:t xml:space="preserve">Capacidade insuficiente no Q1 (perda de janela)</w:t>
      </w:r>
      <w:r>
        <w:rPr>
          <w:rFonts w:ascii="Calibri" w:cs="Calibri" w:eastAsia="Calibri" w:hAnsi="Calibri"/>
          <w:b/>
          <w:bCs/>
          <w:color w:val="C0392B"/>
          <w:sz w:val="18"/>
          <w:szCs w:val="18"/>
        </w:rPr>
        <w:t xml:space="preserve">  [CRÍTICO]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color w:val="64748B"/>
          <w:sz w:val="19"/>
          <w:szCs w:val="19"/>
        </w:rPr>
        <w:t xml:space="preserve">Categoria: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Operação / Capacidade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color w:val="64748B"/>
          <w:sz w:val="19"/>
          <w:szCs w:val="19"/>
        </w:rPr>
        <w:t xml:space="preserve">Descrição: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Falta de prontidão para executar rapidamente quando a demanda for ativada, gerando frustração institucional e perda de janela.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color w:val="64748B"/>
          <w:sz w:val="19"/>
          <w:szCs w:val="19"/>
        </w:rPr>
        <w:t xml:space="preserve">Impacto: </w:t>
      </w:r>
      <w:r>
        <w:rPr>
          <w:rFonts w:ascii="Calibri" w:cs="Calibri" w:eastAsia="Calibri" w:hAnsi="Calibri"/>
          <w:color w:val="C0392B"/>
          <w:sz w:val="19"/>
          <w:szCs w:val="19"/>
        </w:rPr>
        <w:t xml:space="preserve">ALTO (financeiro e reputação)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color w:val="64748B"/>
          <w:sz w:val="19"/>
          <w:szCs w:val="19"/>
        </w:rPr>
        <w:t xml:space="preserve">Probabilidade: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MÉDIA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color w:val="64748B"/>
          <w:sz w:val="19"/>
          <w:szCs w:val="19"/>
        </w:rPr>
        <w:t xml:space="preserve">Exposição: </w:t>
      </w:r>
      <w:r>
        <w:rPr>
          <w:rFonts w:ascii="Calibri" w:cs="Calibri" w:eastAsia="Calibri" w:hAnsi="Calibri"/>
          <w:color w:val="C0392B"/>
          <w:sz w:val="19"/>
          <w:szCs w:val="19"/>
        </w:rPr>
        <w:t xml:space="preserve">CRÍTICA (sensibilidade do Q1)</w:t>
      </w:r>
    </w:p>
    <w:p>
      <w:pPr>
        <w:spacing w:after="100" w:before="180"/>
      </w:pPr>
      <w:r>
        <w:rPr>
          <w:rFonts w:ascii="Calibri" w:cs="Calibri" w:eastAsia="Calibri" w:hAnsi="Calibri"/>
          <w:b/>
          <w:bCs/>
          <w:color w:val="1B6CA8"/>
          <w:sz w:val="20"/>
          <w:szCs w:val="20"/>
        </w:rPr>
        <w:t xml:space="preserve">Gatilhos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Backlog operacional crescendo e não reduzindo por 2 semanas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Sobrecarga sustentada (ocupação acima do limite saudável)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Atrasos repetidos por gargalos previsíveis (logística, processamento, qualidade)</w:t>
      </w:r>
    </w:p>
    <w:p>
      <w:pPr>
        <w:spacing w:after="100" w:before="180"/>
      </w:pPr>
      <w:r>
        <w:rPr>
          <w:rFonts w:ascii="Calibri" w:cs="Calibri" w:eastAsia="Calibri" w:hAnsi="Calibri"/>
          <w:b/>
          <w:bCs/>
          <w:color w:val="1B6CA8"/>
          <w:sz w:val="20"/>
          <w:szCs w:val="20"/>
        </w:rPr>
        <w:t xml:space="preserve">Mitigação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Planejamento semanal de capacidade e agenda (Q1 obrigatório).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Reforço tático (ex.: piloto temporário adicional) quando gatilho acender.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Regra de prioridade: Pareto primeiro no Q1.</w:t>
      </w:r>
    </w:p>
    <w:p>
      <w:pPr>
        <w:spacing w:after="100" w:before="180"/>
      </w:pPr>
      <w:r>
        <w:rPr>
          <w:rFonts w:ascii="Calibri" w:cs="Calibri" w:eastAsia="Calibri" w:hAnsi="Calibri"/>
          <w:b/>
          <w:bCs/>
          <w:color w:val="1B6CA8"/>
          <w:sz w:val="20"/>
          <w:szCs w:val="20"/>
        </w:rPr>
        <w:t xml:space="preserve">Contingência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Redistribuir agenda para proteger Pareto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Terceirização pontual de gargalos (onde fizer sentido)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Congelamento de demandas não críticas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color w:val="64748B"/>
          <w:sz w:val="19"/>
          <w:szCs w:val="19"/>
        </w:rPr>
        <w:t xml:space="preserve">Dono: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Operação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color w:val="64748B"/>
          <w:sz w:val="19"/>
          <w:szCs w:val="19"/>
        </w:rPr>
        <w:t xml:space="preserve">Cadência: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Semanal no Q1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color w:val="64748B"/>
          <w:sz w:val="19"/>
          <w:szCs w:val="19"/>
        </w:rPr>
        <w:t xml:space="preserve">Evidência mínima: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Plano semanal + status de gargalos + decisões de reforço</w:t>
      </w:r>
    </w:p>
    <w:p>
      <w:pPr>
        <w:pBdr>
          <w:left w:val="single" w:color="C0392B" w:sz="14" w:space="8"/>
        </w:pBdr>
        <w:shd w:fill="FFF5F5" w:val="clear"/>
        <w:spacing w:after="120" w:before="280"/>
        <w:ind w:left="12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RSK-2026-04 — </w:t>
      </w:r>
      <w:r>
        <w:rPr>
          <w:rFonts w:ascii="Calibri" w:cs="Calibri" w:eastAsia="Calibri" w:hAnsi="Calibri"/>
          <w:b/>
          <w:bCs/>
          <w:color w:val="0C2340"/>
          <w:sz w:val="22"/>
          <w:szCs w:val="22"/>
        </w:rPr>
        <w:t xml:space="preserve">Deterioração de qualidade e retrabalho</w:t>
      </w:r>
      <w:r>
        <w:rPr>
          <w:rFonts w:ascii="Calibri" w:cs="Calibri" w:eastAsia="Calibri" w:hAnsi="Calibri"/>
          <w:b/>
          <w:bCs/>
          <w:color w:val="C0392B"/>
          <w:sz w:val="18"/>
          <w:szCs w:val="18"/>
        </w:rPr>
        <w:t xml:space="preserve">  [CRÍTICO]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color w:val="64748B"/>
          <w:sz w:val="19"/>
          <w:szCs w:val="19"/>
        </w:rPr>
        <w:t xml:space="preserve">Categoria: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Operação / Reputação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color w:val="64748B"/>
          <w:sz w:val="19"/>
          <w:szCs w:val="19"/>
        </w:rPr>
        <w:t xml:space="preserve">Descrição: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Aumento de falhas, retrabalho e inconsistência comprometem relação institucional e reduzem capacidade (retrabalho consome vazão).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color w:val="64748B"/>
          <w:sz w:val="19"/>
          <w:szCs w:val="19"/>
        </w:rPr>
        <w:t xml:space="preserve">Impacto: </w:t>
      </w:r>
      <w:r>
        <w:rPr>
          <w:rFonts w:ascii="Calibri" w:cs="Calibri" w:eastAsia="Calibri" w:hAnsi="Calibri"/>
          <w:color w:val="C0392B"/>
          <w:sz w:val="19"/>
          <w:szCs w:val="19"/>
        </w:rPr>
        <w:t xml:space="preserve">ALTO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color w:val="64748B"/>
          <w:sz w:val="19"/>
          <w:szCs w:val="19"/>
        </w:rPr>
        <w:t xml:space="preserve">Probabilidade: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MÉDIA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color w:val="64748B"/>
          <w:sz w:val="19"/>
          <w:szCs w:val="19"/>
        </w:rPr>
        <w:t xml:space="preserve">Exposição: </w:t>
      </w:r>
      <w:r>
        <w:rPr>
          <w:rFonts w:ascii="Calibri" w:cs="Calibri" w:eastAsia="Calibri" w:hAnsi="Calibri"/>
          <w:color w:val="C0392B"/>
          <w:sz w:val="19"/>
          <w:szCs w:val="19"/>
        </w:rPr>
        <w:t xml:space="preserve">CRÍTICA</w:t>
      </w:r>
    </w:p>
    <w:p>
      <w:pPr>
        <w:spacing w:after="100" w:before="180"/>
      </w:pPr>
      <w:r>
        <w:rPr>
          <w:rFonts w:ascii="Calibri" w:cs="Calibri" w:eastAsia="Calibri" w:hAnsi="Calibri"/>
          <w:b/>
          <w:bCs/>
          <w:color w:val="1B6CA8"/>
          <w:sz w:val="20"/>
          <w:szCs w:val="20"/>
        </w:rPr>
        <w:t xml:space="preserve">Mitigação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Checklist de qualidade e aceitação (padrão interno)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Pontos de inspeção em etapas críticas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Aprendizagem operacional registrada (não repetir erro)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Quando necessário, estruturação de núcleo de qualidade (função e rito), sem burocratizar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color w:val="64748B"/>
          <w:sz w:val="19"/>
          <w:szCs w:val="19"/>
        </w:rPr>
        <w:t xml:space="preserve">Dono: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Operação (com suporte de Produto/Dados)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color w:val="64748B"/>
          <w:sz w:val="19"/>
          <w:szCs w:val="19"/>
        </w:rPr>
        <w:t xml:space="preserve">Cadência: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Semanal (Q1) e mensal após estabilização</w:t>
      </w:r>
    </w:p>
    <w:p>
      <w:pPr>
        <w:pBdr>
          <w:left w:val="single" w:color="C0392B" w:sz="14" w:space="8"/>
        </w:pBdr>
        <w:shd w:fill="FFF5F5" w:val="clear"/>
        <w:spacing w:after="120" w:before="280"/>
        <w:ind w:left="12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RSK-2026-05 — </w:t>
      </w:r>
      <w:r>
        <w:rPr>
          <w:rFonts w:ascii="Calibri" w:cs="Calibri" w:eastAsia="Calibri" w:hAnsi="Calibri"/>
          <w:b/>
          <w:bCs/>
          <w:color w:val="0C2340"/>
          <w:sz w:val="22"/>
          <w:szCs w:val="22"/>
        </w:rPr>
        <w:t xml:space="preserve">Concentração de receita em poucos clientes</w:t>
      </w:r>
      <w:r>
        <w:rPr>
          <w:rFonts w:ascii="Calibri" w:cs="Calibri" w:eastAsia="Calibri" w:hAnsi="Calibri"/>
          <w:b/>
          <w:bCs/>
          <w:color w:val="C0392B"/>
          <w:sz w:val="18"/>
          <w:szCs w:val="18"/>
        </w:rPr>
        <w:t xml:space="preserve">  [CRÍTICO]</w:t>
      </w:r>
    </w:p>
    <w:p>
      <w:pPr>
        <w:pBdr>
          <w:left w:val="single" w:color="B8860B" w:sz="12" w:space="8"/>
        </w:pBdr>
        <w:shd w:fill="FFF8E1" w:val="clear"/>
        <w:spacing w:after="120" w:before="120"/>
        <w:ind w:left="200" w:right="200"/>
      </w:pPr>
      <w:r>
        <w:rPr>
          <w:rFonts w:ascii="Calibri" w:cs="Calibri" w:eastAsia="Calibri" w:hAnsi="Calibri"/>
          <w:b/>
          <w:bCs/>
          <w:color w:val="B8860B"/>
          <w:sz w:val="19"/>
          <w:szCs w:val="19"/>
        </w:rPr>
        <w:t xml:space="preserve">⚡ Calibração Bloco 1 (fev/2026): </w:t>
      </w:r>
      <w:r>
        <w:rPr>
          <w:rFonts w:ascii="Calibri" w:cs="Calibri" w:eastAsia="Calibri" w:hAnsi="Calibri"/>
          <w:i/>
          <w:iCs/>
          <w:color w:val="334155"/>
          <w:sz w:val="19"/>
          <w:szCs w:val="19"/>
        </w:rPr>
        <w:t xml:space="preserve">Referência a "Comercial (New Biz)" como co-dono foi ajustada. A área Comercial está em criação em 2026. Até sua ativação, a responsabilidade de diversificação permanece com Direção Executiva + Financeiro.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color w:val="64748B"/>
          <w:sz w:val="19"/>
          <w:szCs w:val="19"/>
        </w:rPr>
        <w:t xml:space="preserve">Categoria: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Estratégico / Financeiro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color w:val="64748B"/>
          <w:sz w:val="19"/>
          <w:szCs w:val="19"/>
        </w:rPr>
        <w:t xml:space="preserve">Descrição: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Dependência elevada de poucos contratantes expõe o grupo a variações institucionais e políticas.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color w:val="64748B"/>
          <w:sz w:val="19"/>
          <w:szCs w:val="19"/>
        </w:rPr>
        <w:t xml:space="preserve">Impacto: </w:t>
      </w:r>
      <w:r>
        <w:rPr>
          <w:rFonts w:ascii="Calibri" w:cs="Calibri" w:eastAsia="Calibri" w:hAnsi="Calibri"/>
          <w:color w:val="C0392B"/>
          <w:sz w:val="19"/>
          <w:szCs w:val="19"/>
        </w:rPr>
        <w:t xml:space="preserve">ALTO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color w:val="64748B"/>
          <w:sz w:val="19"/>
          <w:szCs w:val="19"/>
        </w:rPr>
        <w:t xml:space="preserve">Probabilidade: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ALTA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color w:val="64748B"/>
          <w:sz w:val="19"/>
          <w:szCs w:val="19"/>
        </w:rPr>
        <w:t xml:space="preserve">Exposição: </w:t>
      </w:r>
      <w:r>
        <w:rPr>
          <w:rFonts w:ascii="Calibri" w:cs="Calibri" w:eastAsia="Calibri" w:hAnsi="Calibri"/>
          <w:color w:val="C0392B"/>
          <w:sz w:val="19"/>
          <w:szCs w:val="19"/>
        </w:rPr>
        <w:t xml:space="preserve">CRÍTICA</w:t>
      </w:r>
    </w:p>
    <w:p>
      <w:pPr>
        <w:spacing w:after="100" w:before="180"/>
      </w:pPr>
      <w:r>
        <w:rPr>
          <w:rFonts w:ascii="Calibri" w:cs="Calibri" w:eastAsia="Calibri" w:hAnsi="Calibri"/>
          <w:b/>
          <w:bCs/>
          <w:color w:val="1B6CA8"/>
          <w:sz w:val="20"/>
          <w:szCs w:val="20"/>
        </w:rPr>
        <w:t xml:space="preserve">Mitigação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Diversificação seletiva (Aero com tese clara)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Expansão Techdengue com base ampliada e permanência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Fortalecimento do método de monetização (reduz dependência de um único motor)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color w:val="64748B"/>
          <w:sz w:val="19"/>
          <w:szCs w:val="19"/>
        </w:rPr>
        <w:t xml:space="preserve">Dono: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Direção Executiva + Financeiro + Comercial (quando ativada)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color w:val="64748B"/>
          <w:sz w:val="19"/>
          <w:szCs w:val="19"/>
        </w:rPr>
        <w:t xml:space="preserve">Cadência: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Mensal</w:t>
      </w:r>
    </w:p>
    <w:p>
      <w:r>
        <w:r>
          <w:br w:type="page"/>
        </w:r>
      </w:r>
    </w:p>
    <w:p>
      <w:pPr>
        <w:pBdr>
          <w:bottom w:val="single" w:color="2980B9" w:sz="6" w:space="4"/>
        </w:pBdr>
        <w:spacing w:after="200" w:before="3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5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Riscos altos (Nível 2) — tratamento prático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RSK-2026-06 — Pressão de caixa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color w:val="64748B"/>
          <w:sz w:val="19"/>
          <w:szCs w:val="19"/>
        </w:rPr>
        <w:t xml:space="preserve">Gatilhos: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Previsão 30/60/90 falhando; contas a receber crescendo; ciclo de recebimento piorando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color w:val="64748B"/>
          <w:sz w:val="19"/>
          <w:szCs w:val="19"/>
        </w:rPr>
        <w:t xml:space="preserve">Mitigação: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Rotina de caixa + disciplina de cobrança e agenda + prioridade para execuções com maior previsibilidade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color w:val="64748B"/>
          <w:sz w:val="19"/>
          <w:szCs w:val="19"/>
        </w:rPr>
        <w:t xml:space="preserve">Contingência: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Congelar gastos não essenciais; repriorizar carteira; renegociar prazos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color w:val="64748B"/>
          <w:sz w:val="19"/>
          <w:szCs w:val="19"/>
        </w:rPr>
        <w:t xml:space="preserve">Dono: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Financeiro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color w:val="64748B"/>
          <w:sz w:val="19"/>
          <w:szCs w:val="19"/>
        </w:rPr>
        <w:t xml:space="preserve">Cadência: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Semanal (caixa) e mensal (consolidação)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RSK-2026-07 — Falhas de interface entre áreas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color w:val="64748B"/>
          <w:sz w:val="19"/>
          <w:szCs w:val="19"/>
        </w:rPr>
        <w:t xml:space="preserve">Gatilhos: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Demanda sem agenda; execução sem evidência; evidência sem retorno para ativação; retrabalho por desalinhamento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color w:val="64748B"/>
          <w:sz w:val="19"/>
          <w:szCs w:val="19"/>
        </w:rPr>
        <w:t xml:space="preserve">Mitigação: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Ponto de passagem formal (iniciativa de integração), donos definidos e rotina fixa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color w:val="64748B"/>
          <w:sz w:val="19"/>
          <w:szCs w:val="19"/>
        </w:rPr>
        <w:t xml:space="preserve">Contingência: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Intervenção gerencial (nível B); se recorrente, decisão executiva (nível C)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color w:val="64748B"/>
          <w:sz w:val="19"/>
          <w:szCs w:val="19"/>
        </w:rPr>
        <w:t xml:space="preserve">Dono: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Direção + líderes das áreas envolvidas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color w:val="64748B"/>
          <w:sz w:val="19"/>
          <w:szCs w:val="19"/>
        </w:rPr>
        <w:t xml:space="preserve">Cadência: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Semanal no Q1; mensal depois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RSK-2026-08 — Turnover e perda de densidade intelectual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color w:val="64748B"/>
          <w:sz w:val="19"/>
          <w:szCs w:val="19"/>
        </w:rPr>
        <w:t xml:space="preserve">Gatilhos: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Saídas em sequência; sobrecarga persistente; queda de clima em áreas críticas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color w:val="64748B"/>
          <w:sz w:val="19"/>
          <w:szCs w:val="19"/>
        </w:rPr>
        <w:t xml:space="preserve">Mitigação: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Plano de retenção + contratação de posições-chave + escola de líderes e onboarding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color w:val="64748B"/>
          <w:sz w:val="19"/>
          <w:szCs w:val="19"/>
        </w:rPr>
        <w:t xml:space="preserve">Contingência: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Plano de continuidade (substituição rápida, redistribuição e redução de escopo temporária)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color w:val="64748B"/>
          <w:sz w:val="19"/>
          <w:szCs w:val="19"/>
        </w:rPr>
        <w:t xml:space="preserve">Dono: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RH + Direção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color w:val="64748B"/>
          <w:sz w:val="19"/>
          <w:szCs w:val="19"/>
        </w:rPr>
        <w:t xml:space="preserve">Cadência: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Mensal (intervenção imediata se acionar)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RSK-2026-09 — Atraso na separação gerencial Aero × Techdengue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color w:val="64748B"/>
          <w:sz w:val="19"/>
          <w:szCs w:val="19"/>
        </w:rPr>
        <w:t xml:space="preserve">Gatilhos: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Ausência de resultado por unidade até dia 10; decisões sem alçada; conflito de prioridades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color w:val="64748B"/>
          <w:sz w:val="19"/>
          <w:szCs w:val="19"/>
        </w:rPr>
        <w:t xml:space="preserve">Mitigação: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Rotina de fechamento por unidade + alçadas + decisões registradas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color w:val="64748B"/>
          <w:sz w:val="19"/>
          <w:szCs w:val="19"/>
        </w:rPr>
        <w:t xml:space="preserve">Contingência: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Revisão de estrutura e responsabilidades; intervenção executiva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color w:val="64748B"/>
          <w:sz w:val="19"/>
          <w:szCs w:val="19"/>
        </w:rPr>
        <w:t xml:space="preserve">Dono: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Financeiro + Direção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color w:val="64748B"/>
          <w:sz w:val="19"/>
          <w:szCs w:val="19"/>
        </w:rPr>
        <w:t xml:space="preserve">Cadência: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Mensal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RSK-2026-10 — Fragilidade de dados e evidências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color w:val="64748B"/>
          <w:sz w:val="19"/>
          <w:szCs w:val="19"/>
        </w:rPr>
        <w:t xml:space="preserve">Gatilhos: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Previsões sem evidência; relatórios inconsistentes; perda de confiança interna/externa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color w:val="64748B"/>
          <w:sz w:val="19"/>
          <w:szCs w:val="19"/>
        </w:rPr>
        <w:t xml:space="preserve">Mitigação: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Fonte única do painel + relatório executivo padrão + governança de dados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color w:val="64748B"/>
          <w:sz w:val="19"/>
          <w:szCs w:val="19"/>
        </w:rPr>
        <w:t xml:space="preserve">Contingência: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Congelar narrativas; voltar ao dado verificável e reconstruir prova por Pareto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color w:val="64748B"/>
          <w:sz w:val="19"/>
          <w:szCs w:val="19"/>
        </w:rPr>
        <w:t xml:space="preserve">Dono: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Produto/Dados/P&amp;D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color w:val="64748B"/>
          <w:sz w:val="19"/>
          <w:szCs w:val="19"/>
        </w:rPr>
        <w:t xml:space="preserve">Cadência: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Mensal (com entregas fortes no Q1)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RSK-2026-13 — Atraso nas contratações prioritárias (NOVO)</w:t>
      </w:r>
    </w:p>
    <w:p>
      <w:pPr>
        <w:pBdr>
          <w:left w:val="single" w:color="B8860B" w:sz="12" w:space="8"/>
        </w:pBdr>
        <w:shd w:fill="FFF8E1" w:val="clear"/>
        <w:spacing w:after="120" w:before="120"/>
        <w:ind w:left="200" w:right="200"/>
      </w:pPr>
      <w:r>
        <w:rPr>
          <w:rFonts w:ascii="Calibri" w:cs="Calibri" w:eastAsia="Calibri" w:hAnsi="Calibri"/>
          <w:b/>
          <w:bCs/>
          <w:color w:val="B8860B"/>
          <w:sz w:val="19"/>
          <w:szCs w:val="19"/>
        </w:rPr>
        <w:t xml:space="preserve">⚡ Calibração Bloco 1 (fev/2026): </w:t>
      </w:r>
      <w:r>
        <w:rPr>
          <w:rFonts w:ascii="Calibri" w:cs="Calibri" w:eastAsia="Calibri" w:hAnsi="Calibri"/>
          <w:i/>
          <w:iCs/>
          <w:color w:val="334155"/>
          <w:sz w:val="19"/>
          <w:szCs w:val="19"/>
        </w:rPr>
        <w:t xml:space="preserve">Risco adicionado na v2.0. A Direção confirmou que COO/Diretor de Operações e liderança Comercial são pré-condições do ano. Atraso nessas contratações tem efeito cascata sobre capacidade de execução, ativação da área Comercial e distribuição de responsabilidades operacionais.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color w:val="64748B"/>
          <w:sz w:val="19"/>
          <w:szCs w:val="19"/>
        </w:rPr>
        <w:t xml:space="preserve">Categoria: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Pessoas / Estrutura organizacional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color w:val="64748B"/>
          <w:sz w:val="19"/>
          <w:szCs w:val="19"/>
        </w:rPr>
        <w:t xml:space="preserve">Descrição: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Atraso na contratação de COO/Diretor de Operações e liderança Comercial comprometer a descentralização de responsabilidades, a ativação da área Comercial e a capacidade de escala operacional.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color w:val="64748B"/>
          <w:sz w:val="19"/>
          <w:szCs w:val="19"/>
        </w:rPr>
        <w:t xml:space="preserve">Impacto: </w:t>
      </w:r>
      <w:r>
        <w:rPr>
          <w:rFonts w:ascii="Calibri" w:cs="Calibri" w:eastAsia="Calibri" w:hAnsi="Calibri"/>
          <w:color w:val="B8860B"/>
          <w:sz w:val="19"/>
          <w:szCs w:val="19"/>
        </w:rPr>
        <w:t xml:space="preserve">ALTO (efeito cascata sobre múltiplos OKRs)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color w:val="64748B"/>
          <w:sz w:val="19"/>
          <w:szCs w:val="19"/>
        </w:rPr>
        <w:t xml:space="preserve">Probabilidade: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MÉDIA/ALTA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color w:val="64748B"/>
          <w:sz w:val="19"/>
          <w:szCs w:val="19"/>
        </w:rPr>
        <w:t xml:space="preserve">Exposição: </w:t>
      </w:r>
      <w:r>
        <w:rPr>
          <w:rFonts w:ascii="Calibri" w:cs="Calibri" w:eastAsia="Calibri" w:hAnsi="Calibri"/>
          <w:color w:val="B8860B"/>
          <w:sz w:val="19"/>
          <w:szCs w:val="19"/>
        </w:rPr>
        <w:t xml:space="preserve">ALTA</w:t>
      </w:r>
    </w:p>
    <w:p>
      <w:pPr>
        <w:spacing w:after="100" w:before="180"/>
      </w:pPr>
      <w:r>
        <w:rPr>
          <w:rFonts w:ascii="Calibri" w:cs="Calibri" w:eastAsia="Calibri" w:hAnsi="Calibri"/>
          <w:b/>
          <w:bCs/>
          <w:color w:val="1B6CA8"/>
          <w:sz w:val="20"/>
          <w:szCs w:val="20"/>
        </w:rPr>
        <w:t xml:space="preserve">Gatilhos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Processo seletivo sem candidatos qualificados após 60 dias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Fechamento do Q1 sem COO contratado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KRs que dependem de liderança Comercial sem replanejamento de timeline</w:t>
      </w:r>
    </w:p>
    <w:p>
      <w:pPr>
        <w:spacing w:after="100" w:before="180"/>
      </w:pPr>
      <w:r>
        <w:rPr>
          <w:rFonts w:ascii="Calibri" w:cs="Calibri" w:eastAsia="Calibri" w:hAnsi="Calibri"/>
          <w:b/>
          <w:bCs/>
          <w:color w:val="1B6CA8"/>
          <w:sz w:val="20"/>
          <w:szCs w:val="20"/>
        </w:rPr>
        <w:t xml:space="preserve">Mitigação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Processo seletivo estruturado com critérios claros e timeline definida.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Remuneração competitiva mapeada (faixa de mercado) para acelerar fechamento.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KRs dependentes de contratação com data de ativação explícita (não datas fixas pré-contratação).</w:t>
      </w:r>
    </w:p>
    <w:p>
      <w:pPr>
        <w:spacing w:after="100" w:before="180"/>
      </w:pPr>
      <w:r>
        <w:rPr>
          <w:rFonts w:ascii="Calibri" w:cs="Calibri" w:eastAsia="Calibri" w:hAnsi="Calibri"/>
          <w:b/>
          <w:bCs/>
          <w:color w:val="1B6CA8"/>
          <w:sz w:val="20"/>
          <w:szCs w:val="20"/>
        </w:rPr>
        <w:t xml:space="preserve">Contingência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Redistribuição temporária de responsabilidades operacionais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Redução de escopo de iniciativas dependentes da posição não preenchida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Revisão de timelines de OKRs dependentes no MBR/QBR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color w:val="64748B"/>
          <w:sz w:val="19"/>
          <w:szCs w:val="19"/>
        </w:rPr>
        <w:t xml:space="preserve">Dono: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RH + Direção Executiva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color w:val="64748B"/>
          <w:sz w:val="19"/>
          <w:szCs w:val="19"/>
        </w:rPr>
        <w:t xml:space="preserve">Cadência: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Mensal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color w:val="64748B"/>
          <w:sz w:val="19"/>
          <w:szCs w:val="19"/>
        </w:rPr>
        <w:t xml:space="preserve">Evidência mínima: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Status do processo seletivo + timeline atualizada + impacto em OKRs mapeado</w:t>
      </w:r>
    </w:p>
    <w:p>
      <w:r>
        <w:r>
          <w:br w:type="page"/>
        </w:r>
      </w:r>
    </w:p>
    <w:p>
      <w:pPr>
        <w:pBdr>
          <w:bottom w:val="single" w:color="2980B9" w:sz="6" w:space="4"/>
        </w:pBdr>
        <w:spacing w:after="200" w:before="3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6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Protocolo de resposta (níveis e responsabilidades)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Para reduzir ruído e acelerar resposta, adotamos três níveis de intervenção: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Nível A — Ajuste operacional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Ação do time (rápida e reversível). Exemplos: ajuste de agenda, correção de processo, reforço pontual.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Nível B — Intervenção gerencial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Quando gatilho se repete por 2 ciclos ou ameaça limites de segurança. Exige replanejamento de capacidade e prioridade.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Nível C — Decisão executiva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Quando ameaça resultado do trimestre ou reputação institucional. Exige trade-offs explícitos, pausa/corte de iniciativas e realocação de recursos. Toda resposta Nível C gera DEC (decisão) e evidência do plano (EVID).</w:t>
      </w:r>
    </w:p>
    <w:p>
      <w:pPr>
        <w:pBdr>
          <w:bottom w:val="single" w:color="2980B9" w:sz="6" w:space="4"/>
        </w:pBdr>
        <w:spacing w:after="200" w:before="3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7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Integração com o Placar (DOC 05) — risco virando rotina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O plano de riscos não cria painéis paralelos. Ele usa o placar oficial como sistema de detecção: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Vazão cai + ativação cai → RSK-2026-02 ativo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Retrabalho sobe → RSK-2026-04 ativo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Previsibilidade 30/60/90 falha → RSK-2026-02/06/10 acendem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Concentração aumenta → RSK-2026-05 acende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Resultado por unidade não fecha → RSK-2026-09 ativo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Processo seletivo estagnado → RSK-2026-13 ativo</w:t>
      </w:r>
    </w:p>
    <w:p>
      <w:pPr>
        <w:pBdr>
          <w:bottom w:val="single" w:color="2980B9" w:sz="6" w:space="4"/>
        </w:pBdr>
        <w:spacing w:after="200" w:before="3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8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Conclusão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O Plano de Riscos 2026 revisado (v2.0) incorpora três calibrações críticas: a Resolução SES/MG 9.035/2023 expirou em 31/12/2025 e o período de monitoramento até 31/03/2026 é fato confirmado, não hipótese; a área Comercial está em criação e não pode ser tratada como co-dona de riscos; e o atraso nas contratações prioritárias (COO + Comercial) foi incluído como risco estrutural com efeito cascata.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O centro do risco do ano permanece intacto: contrato não garante execução. A empresa precisa operar com método de ativação, prontidão operacional e prova de valor como instrumentos de decisão do cliente público — com cadência, donos, gatilhos e evidências registradas. Este documento protege o resultado, a reputação institucional e a tese estratégica de 2026: monetização com previsibilidade, separação gerencial por unidades e evolução do Techdengue rumo a padrão de empresa transacionável.</w:t>
      </w:r>
    </w:p>
    <w:p>
      <w:pPr>
        <w:pBdr>
          <w:bottom w:val="single" w:color="2980B9" w:sz="6" w:space="4"/>
        </w:pBdr>
        <w:spacing w:after="200" w:before="3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Glossário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sz="0"/>
              <w:left w:val="none" w:sz="0"/>
              <w:bottom w:val="single" w:color="0C2340" w:sz="6"/>
              <w:right w:val="none" w:sz="0"/>
            </w:tcBorders>
            <w:shd w:fill="0C23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Termo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0C2340" w:sz="6"/>
              <w:right w:val="none" w:sz="0"/>
            </w:tcBorders>
            <w:shd w:fill="0C23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C2340"/>
                <w:sz w:val="18"/>
                <w:szCs w:val="18"/>
              </w:rPr>
              <w:t xml:space="preserve">Registro de riscos (risk register)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Lista oficial de riscos com gatilhos, planos e responsáveis.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C2340"/>
                <w:sz w:val="18"/>
                <w:szCs w:val="18"/>
              </w:rPr>
              <w:t xml:space="preserve">Gatilho (trigger)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Sinal objetivo que indica risco ativo e exige resposta.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C2340"/>
                <w:sz w:val="18"/>
                <w:szCs w:val="18"/>
              </w:rPr>
              <w:t xml:space="preserve">Mitigação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Ações preventivas para reduzir probabilidade e/ou impacto.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C2340"/>
                <w:sz w:val="18"/>
                <w:szCs w:val="18"/>
              </w:rPr>
              <w:t xml:space="preserve">Contingência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Plano de resposta quando o risco acontece.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C2340"/>
                <w:sz w:val="18"/>
                <w:szCs w:val="18"/>
              </w:rPr>
              <w:t xml:space="preserve">Exposição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Prioridade resultante de probabilidade × impacto.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C2340"/>
                <w:sz w:val="18"/>
                <w:szCs w:val="18"/>
              </w:rPr>
              <w:t xml:space="preserve">Limites de segurança (guardrails)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Indicadores que não podem deteriorar sem correção imediata.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C2340"/>
                <w:sz w:val="18"/>
                <w:szCs w:val="18"/>
              </w:rPr>
              <w:t xml:space="preserve">WBR / MBR / QBR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Revisões semanal / mensal / trimestral do negócio.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C2340"/>
                <w:sz w:val="18"/>
                <w:szCs w:val="18"/>
              </w:rPr>
              <w:t xml:space="preserve">Pareto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Foco nos poucos itens que concentram maior impacto (ex.: Top-14 contratantes).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C2340"/>
                <w:sz w:val="18"/>
                <w:szCs w:val="18"/>
              </w:rPr>
              <w:t xml:space="preserve">Sala de Situação (war room)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Rito intensivo para destravar tema crítico com alta cadência.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C2340"/>
                <w:sz w:val="18"/>
                <w:szCs w:val="18"/>
              </w:rPr>
              <w:t xml:space="preserve">DEC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Registro formal de decisão (o que, por quê, impacto, dono e prazo).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C2340"/>
                <w:sz w:val="18"/>
                <w:szCs w:val="18"/>
              </w:rPr>
              <w:t xml:space="preserve">EVID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Evidência verificável de entrega/avanço.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C2340"/>
                <w:sz w:val="18"/>
                <w:szCs w:val="18"/>
              </w:rPr>
              <w:t xml:space="preserve">Res. SES/MG 9.035/2023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Resolução estadual de MG sobre programa de arboviroses. Expirou em 31/12/2025.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C2340"/>
                <w:sz w:val="18"/>
                <w:szCs w:val="18"/>
              </w:rPr>
              <w:t xml:space="preserve">Res. 10.402/2025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Resolução que alterou dispositivos da 9.035/2023. Efeitos em consolidação.</w:t>
            </w:r>
          </w:p>
        </w:tc>
      </w:tr>
    </w:tbl>
    <w:p>
      <w:pPr>
        <w:pBdr>
          <w:top w:val="single" w:color="94A3B8" w:sz="4" w:space="8"/>
        </w:pBdr>
        <w:spacing w:before="600"/>
        <w:jc w:val="center"/>
      </w:pPr>
      <w:r>
        <w:rPr>
          <w:rFonts w:ascii="Calibri" w:cs="Calibri" w:eastAsia="Calibri" w:hAnsi="Calibri"/>
          <w:i/>
          <w:iCs/>
          <w:color w:val="94A3B8"/>
          <w:sz w:val="18"/>
          <w:szCs w:val="18"/>
        </w:rPr>
        <w:t xml:space="preserve">DOC 10 — Plano de Riscos 2026 — v2.0 — Revisão fev/2026 — Bloco 1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4"/>
      </w:pBdr>
      <w:jc w:val="center"/>
    </w:pPr>
    <w:r>
      <w:rPr>
        <w:rFonts w:ascii="Calibri" w:cs="Calibri" w:eastAsia="Calibri" w:hAnsi="Calibri"/>
        <w:color w:val="94A3B8"/>
        <w:sz w:val="16"/>
        <w:szCs w:val="16"/>
      </w:rPr>
      <w:t xml:space="preserve">Confidencial — Uso interno da Direção  |  </w:t>
    </w:r>
    <w:r>
      <w:rPr>
        <w:rFonts w:ascii="Calibri" w:cs="Calibri" w:eastAsia="Calibri" w:hAnsi="Calibri"/>
        <w:color w:val="94A3B8"/>
        <w:sz w:val="16"/>
        <w:szCs w:val="16"/>
      </w:rPr>
      <w:t xml:space="preserve">Pág.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980B9" w:sz="4" w:space="4"/>
      </w:pBdr>
    </w:pPr>
    <w:r>
      <w:rPr>
        <w:rFonts w:ascii="Calibri Light" w:cs="Calibri Light" w:eastAsia="Calibri Light" w:hAnsi="Calibri Light"/>
        <w:color w:val="2980B9"/>
        <w:sz w:val="16"/>
        <w:szCs w:val="16"/>
      </w:rPr>
      <w:t xml:space="preserve">PE 2026</w:t>
    </w:r>
    <w:r>
      <w:rPr>
        <w:rFonts w:ascii="Calibri Light" w:cs="Calibri Light" w:eastAsia="Calibri Light" w:hAnsi="Calibri Light"/>
        <w:color w:val="94A3B8"/>
        <w:sz w:val="16"/>
        <w:szCs w:val="16"/>
      </w:rPr>
      <w:t xml:space="preserve">  |  Plano de Riscos 2026 (v2.0)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15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8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9"/>
    <w:lvlOverride w:ilvl="0">
      <w:startOverride w:val="1"/>
    </w:lvlOverride>
  </w:num>
  <w:num w:numId="7">
    <w:abstractNumId w:val="10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11"/>
    <w:lvlOverride w:ilvl="0">
      <w:startOverride w:val="1"/>
    </w:lvlOverride>
  </w:num>
  <w:num w:numId="10">
    <w:abstractNumId w:val="12"/>
    <w:lvlOverride w:ilvl="0">
      <w:startOverride w:val="1"/>
    </w:lvlOverride>
  </w:num>
  <w:num w:numId="11">
    <w:abstractNumId w:val="5"/>
    <w:lvlOverride w:ilvl="0">
      <w:startOverride w:val="1"/>
    </w:lvlOverride>
  </w:num>
  <w:num w:numId="12">
    <w:abstractNumId w:val="13"/>
    <w:lvlOverride w:ilvl="0">
      <w:startOverride w:val="1"/>
    </w:lvlOverride>
  </w:num>
  <w:num w:numId="13">
    <w:abstractNumId w:val="14"/>
    <w:lvlOverride w:ilvl="0">
      <w:startOverride w:val="1"/>
    </w:lvlOverride>
  </w:num>
  <w:num w:numId="14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 Light" w:cs="Calibri Light" w:eastAsia="Calibri Light" w:hAnsi="Calibri Light"/>
      <w:color w:val="0C234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63B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2026-02-27T20:00:16.285Z</dcterms:created>
  <dcterms:modified xsi:type="dcterms:W3CDTF">2026-02-27T20:00:16.285Z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