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pBdr>
          <w:bottom w:val="single" w:color="2980B9" w:sz="12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DOC 11 — Adendo v2.1</w:t>
      </w:r>
    </w:p>
    <w:p>
      <w:pPr>
        <w:spacing w:after="3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Seção 13: Roteiros de Execução (Camada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2.1 (adendo)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02/mar/2026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Escopo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Nova seção — define Camada 3 e papel da Assessoria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Roteiros de Execução (Camada 3)</w:t>
      </w:r>
    </w:p>
    <w:p>
      <w:pPr>
        <w:pBdr>
          <w:left w:val="single" w:color="C0392B" w:sz="18" w:space="8"/>
        </w:pBdr>
        <w:shd w:fill="FDEDEC" w:val="clear"/>
        <w:spacing w:after="160" w:before="1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Seção nova — adicionada ao DOC 11 em 02/mar/2026. Define a terceira camada do PE2026 e o papel da Assessoria de Desdobramento Estratégico.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13.1  O que são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Os cadernos setoriais (Camada 2) definem o que cada área precisa entregar, com que recurso e sob qual governança. Os Roteiros de Execução (Camada 3) traduzem esses cadernos em passos práticos, com linguagem acessível, nomes de responsáveis e cronograma real. Cada área setorial tem 1 Roteiro de Execução, identificado como RE-[área]: RE-RH, RE-MKT, RE-P&amp;D, RE-OPS, RE-CS, RE-COM, RE-FIN.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13.2  Relação com os cadernos setoriais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Caderno setorial (Camada 2)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Roteiro de Execução (Camada 3)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Serve para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Governança e prestação de contas ao PE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Execução no dia a dia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Quem lê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+ Assessoria + Líder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+ Time + Assessoria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Linguagem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Institucional, com códigos e vínculos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Prática, com nomes e passos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Quem produz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 (PE2026)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Assessoria + líder de área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Quem aprova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+ Direção (validação no MBR)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Acompanhamento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 (mensal) e QBR (trimestral)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(semanal) e MBR (mensal)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Pode mudar metas?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Sim (com decisão formal)</w:t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single" w:color="EDF2F7" w:sz="2"/>
              <w:right w:val="none" w:color="FFFFFF" w:sz="0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Não — herda do caderno setorial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13.3  O que o Roteiro precisa conter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10 campos por iniciativa: código (INIT-###), resultado estratégico vinculado, programa, meta com número e prazo, custo estimado, indicador setorial, trimestre de execução, responsáveis com nomes, evidência aceita e status (semáforo). Referência completa: Protocolo de Ponte.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13.4  Papel da Assessoria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Traduzir os cadernos em linguagem prática. Construir o Roteiro com cada líder de área. Facilitar os ritos semanais e mensais. Manter os Roteiros atualizados. Alimentar o Placar Integrado (11-H) com dados de execução. A Assessoria não cria metas fora do caderno, não muda códigos, não assina conclusão de iniciativas e não substitui o líder na prestação de contas.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13.5  Governança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WBR (semanal) é o rito da Camada 3: status, bloqueios, evidências. O MBR (mensal) é onde Camada 2 e 3 se encontram: indicadores e % execução sobem, calibrações e decisões descem. O QBR (trimestral) é o rito da Camada 1: Placar Integrado e rebalanceamento de carteira.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13.6  Checklist de qualidade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Antes de entrar na governança, todo Roteiro passa por 10 verificações: (1) todas as iniciativas com código, (2) resultado estratégico indicado, (3) custo estimado, (4) indicador vinculado, (5) plano 30/60/90, (6) responsáveis com nome, (7) evidências listadas, (8) total cabe no limite da área, (9) WBR/MBR definidos, (10) contexto com números de partida.</w:t>
      </w:r>
    </w:p>
    <w:p>
      <w:pPr>
        <w:spacing w:after="200"/>
      </w:pPr>
    </w:p>
    <w:p>
      <w:pPr>
        <w:spacing w:before="20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Seção 13 adicionada ao DOC 11 em 02/mar/2026 — PE2026 v2.1.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72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Calibri" w:cs="Calibri" w:eastAsia="Calibri" w:hAnsi="Calibri"/>
        <w:b/>
        <w:bCs/>
        <w:color w:val="0C2340"/>
        <w:sz w:val="16"/>
        <w:szCs w:val="16"/>
      </w:rPr>
      <w:t xml:space="preserve">PE 2026</w:t>
    </w:r>
    <w:r>
      <w:rPr>
        <w:rFonts w:ascii="Calibri" w:cs="Calibri" w:eastAsia="Calibri" w:hAnsi="Calibri"/>
        <w:color w:val="64748B"/>
        <w:sz w:val="16"/>
        <w:szCs w:val="16"/>
      </w:rPr>
      <w:t xml:space="preserve">  |  DOC 11 — Adendo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2026-03-02T03:49:21.262Z</dcterms:created>
  <dcterms:modified xsi:type="dcterms:W3CDTF">2026-03-02T03:49:21.262Z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