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pBdr>
          <w:bottom w:val="single" w:color="2980B9" w:sz="12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48"/>
          <w:szCs w:val="48"/>
        </w:rPr>
        <w:t xml:space="preserve">Guia Institucional para Desdobramento</w:t>
      </w:r>
    </w:p>
    <w:p>
      <w:pPr>
        <w:spacing w:after="3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Padrão dos Cadernos Setoriais — PE2026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— revisada (PE2026 Bloco B3/B5)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01/mar/2026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Autor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(Direção Executiva)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00–10 v2 + cadernos setoriais existentes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Guia canônico — padrão obrigatório do PE2026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2980B9" w:sz="4"/>
              <w:right w:val="none" w:color="FFFFFF" w:sz="0"/>
            </w:tcBorders>
            <w:shd w:fill="EBF5FB" w:val="clear"/>
            <w:tcMar>
              <w:top w:type="dxa" w:w="10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32"/>
                <w:szCs w:val="32"/>
              </w:rPr>
              <w:t xml:space="preserve">7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single" w:color="2980B9" w:sz="4"/>
              <w:right w:val="none" w:color="FFFFFF" w:sz="0"/>
            </w:tcBorders>
            <w:shd w:fill="EBF5FB" w:val="clear"/>
            <w:tcMar>
              <w:top w:type="dxa" w:w="10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32"/>
                <w:szCs w:val="32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single" w:color="2980B9" w:sz="4"/>
              <w:right w:val="none" w:color="FFFFFF" w:sz="0"/>
            </w:tcBorders>
            <w:shd w:fill="EBF5FB" w:val="clear"/>
            <w:tcMar>
              <w:top w:type="dxa" w:w="10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32"/>
                <w:szCs w:val="32"/>
              </w:rPr>
              <w:t xml:space="preserve">21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single" w:color="2980B9" w:sz="4"/>
              <w:right w:val="none" w:color="FFFFFF" w:sz="0"/>
            </w:tcBorders>
            <w:shd w:fill="EBF5FB" w:val="clear"/>
            <w:tcMar>
              <w:top w:type="dxa" w:w="10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32"/>
                <w:szCs w:val="32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Áreas setoriais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Docs por área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Cadernos totais</w:t>
            </w:r>
          </w:p>
        </w:tc>
        <w:tc>
          <w:tcPr>
            <w:tcW w:type="dxa" w:w="2340"/>
            <w:tcBorders>
              <w:top w:val="none" w:color="FFFFFF" w:sz="0"/>
              <w:left w:val="single" w:color="D5E8F0" w:sz="2"/>
              <w:bottom w:val="none" w:color="FFFFFF" w:sz="0"/>
              <w:right w:val="none" w:color="FFFFFF" w:sz="0"/>
            </w:tcBorders>
            <w:shd w:fill="EBF5FB" w:val="clear"/>
            <w:tcMar>
              <w:top w:type="dxa" w:w="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Placar Integrado (11-H)</w:t>
            </w:r>
          </w:p>
        </w:tc>
      </w:tr>
    </w:tbl>
    <w:p>
      <w:pPr>
        <w:spacing w:after="200"/>
      </w:pP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Nota de revisão v2.0 — Guia atualizado para refletir DOC 00–10 v2. Principais adições: (1) WIP limits alinhados ao DOC 08 v2; (2) Requisito de custo/INIT (padrão LR-01); (3) Calibrações P&amp;D e Comercial nos templates; (4) Vínculo obrigatório com Placar Integrado (11-H); (5) Mapa atualizado de status por área; (6) Padrão de IDs consolidado com uso real.</w:t>
      </w:r>
    </w:p>
    <w:p>
      <w:r>
        <w:br w:type="page"/>
      </w:r>
    </w:p>
    <w:p>
      <w:pPr>
        <w:spacing w:after="20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pBdr>
          <w:bottom w:val="single" w:color="2980B9" w:sz="4"/>
        </w:pBdr>
        <w:spacing w:after="160"/>
      </w:pP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1  O que é o DOC 11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3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2  Estrutura obrigatória (trio por área)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3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3  Mapa de áreas e status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4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4  Regras de qualidade (não negociáveis)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5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5  Padrões de IDs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6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6  Template — DOC 11-[X] Macro (Gerencial)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7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7  Template — DOC 11-[X].1 Direção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8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8  Template — DOC 11-[X].2 Execução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9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9  Evidências: o que conta e o que não conta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10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10  Calibrações especiais por área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10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11  Vínculo com Placar Integrado (11-H)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11</w:t>
      </w:r>
    </w:p>
    <w:p>
      <w:pPr>
        <w:tabs>
          <w:tab w:val="right" w:pos="9072" w:leader="dot"/>
        </w:tabs>
        <w:spacing w:after="60"/>
      </w:pPr>
      <w:r>
        <w:rPr>
          <w:rFonts w:ascii="Calibri" w:cs="Calibri" w:eastAsia="Calibri" w:hAnsi="Calibri"/>
          <w:color w:val="0C2340"/>
          <w:sz w:val="20"/>
          <w:szCs w:val="20"/>
        </w:rPr>
        <w:t xml:space="preserve">12  Glossário</w:t>
      </w:r>
      <w:r>
        <w:rPr>
          <w:rFonts w:ascii="Calibri" w:cs="Calibri" w:eastAsia="Calibri" w:hAnsi="Calibri"/>
          <w:color w:val="94A3B8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11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 que é o DOC 11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DOC 11 é o conjunto de documentos que desdobra o PE2026 por área funcional, mantendo clareza de mandato (o que a área faz e não faz), direção (diagnóstico, prioridades e OKRs setoriais) e execução (programas, iniciativas, DoD, evidências e cadência). É o mecanismo que transforma estratégia em execução sem "telefone sem fio".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DOC 11 não substitui os documentos corporativos (DOC 00–10) — ele os desdobra. Cada caderno setorial deve vincular-se explicitamente aos OKRs corporativos (DOC 06 v2), à Carteira Estratégica (DOC 08 v2) e ao Placar Institucional (DOC 05 v2). Sem esse vínculo, o caderno é lista de tarefas, não plano estratégico.</w:t>
      </w:r>
    </w:p>
    <w:p>
      <w:pPr>
        <w:pBdr>
          <w:left w:val="single" w:color="0C2340" w:sz="18" w:space="8"/>
        </w:pBdr>
        <w:shd w:fill="EBF5FB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Regra v2.0: todo caderno setorial deve indicar qual(is) KR(s) corporativo(s) do DOC 06 v2 cada KR setorial movimenta. A rastreabilidade Pilar → OKR → KR → INIT → EVID é obrigatória e será verificada no Placar Integrado (11-H).</w:t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obrigatória (trio por área)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Cada área entrega 3 documentos, sempre na mesma sequência e padrão: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5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 central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Analogia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11-[X]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Macro (Gerencial)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Mandato, fronteiras, placar setorial, governança, RACI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"O que a área é e como se governa"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11-[X].1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Diagnóstico, prioridades, OKRs setoriais, dicionário de métricas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"Para onde a área vai e como mede"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11-[X].2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Execução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Programas, INITs, DoD, EVIDs, cadência, riscos, custos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"O que a área faz, quando e quanto custa"</w:t>
            </w:r>
          </w:p>
        </w:tc>
      </w:tr>
    </w:tbl>
    <w:p>
      <w:pPr>
        <w:spacing w:after="80"/>
      </w:pPr>
    </w:p>
    <w:p>
      <w:pPr>
        <w:pBdr>
          <w:left w:val="single" w:color="0E8C6B" w:sz="18" w:space="8"/>
        </w:pBdr>
        <w:shd w:fill="E8F8F5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Exemplo: Marketing → DOC 11-B (Gerencial), DOC 11-B.1 (Direção), DOC 11-B.2 (Execução). Financeiro → DOC 11-G, DOC 11-G.1, DOC 11-G.2.</w:t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áreas e status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PE2026 possui 7 áreas setoriais + 1 Placar Integrado consolidado. Status atualizado para mar/2026: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100"/>
        <w:gridCol w:w="1100"/>
        <w:gridCol w:w="1100"/>
        <w:gridCol w:w="35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Gerencial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Execução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B3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Validar (B5)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11-B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Validar (B5)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8"/>
                <w:szCs w:val="18"/>
              </w:rPr>
              <w:t xml:space="preserve">Revisar — modelo Direção + consultorias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Validar (B5)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CONSTRUIR Direção + Execução (LC-05)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11-F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8"/>
                <w:szCs w:val="18"/>
              </w:rPr>
              <w:t xml:space="preserve">Revisar — área em criação (LC-06)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E8C6B"/>
                <w:sz w:val="18"/>
                <w:szCs w:val="18"/>
              </w:rPr>
              <w:t xml:space="preserve">✓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Validar (B5)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Integrado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VAZIO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CONSTRUIR completo (LC-04)</w:t>
            </w:r>
          </w:p>
        </w:tc>
      </w:tr>
    </w:tbl>
    <w:p>
      <w:pPr>
        <w:spacing w:after="80"/>
      </w:pP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Lacunas críticas B3: LC-04 (11-H Placar Integrado vazio) e LC-05 (11-E CS sem Direção nem Execução). Lacunas relevantes: LR-05 (11-C P&amp;D como equipe dedicada) e LC-06 (11-F Comercial como área existente).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Regras de qualidade (não negociáveis)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 Auditabilidade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Tudo que for declarado como "feito", "concluído" ou "atingido" precisa de evidência verificável. KR só fecha com EVID. INIT só conclui com EVID. Risco só é gerenciável com gatilho definido.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 Rastreabilidade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Cadeia mínima obrigatória em todo caderno setorial:</w:t>
      </w:r>
    </w:p>
    <w:p>
      <w:pPr>
        <w:pBdr>
          <w:left w:val="single" w:color="0C2340" w:sz="18" w:space="8"/>
        </w:pBdr>
        <w:shd w:fill="EBF5FB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Pilar (DOC 04 v2) → OKR corporativo (DOC 06 v2) → KR corporativo → KR setorial (11-X.1) → Iniciativa INIT-* (DOC 08 v2 / 11-X.2) → Evidência EVID-* → Cadência → Resultado no Placar (11-H)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Para monetização (cadeia específica do Techdengue):</w:t>
      </w:r>
    </w:p>
    <w:p>
      <w:pPr>
        <w:pBdr>
          <w:left w:val="single" w:color="0E8C6B" w:sz="18" w:space="8"/>
        </w:pBdr>
        <w:shd w:fill="E8F8F5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Contrato/Base → Ativação (CS) → Evidência → Execução (Operação) → Caixa (Financeiro)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4.3  Governança por cadência (ritos)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000"/>
        <w:gridCol w:w="31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 setorial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Vazão, impedimentos, INITs P0, decisões rápidas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Ata resumida + DEC-* se houver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Resultado, causa-raiz, carteira, envelope acumulado, riscos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mensal + LOG-DEC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Revisão de tese, cenários, decisões estruturais, rebalanceamento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trimestral + DOC 08 v2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4.4  WIP limits (alinhado DOC 08 v2)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Os limites de trabalho em progresso foram redefinidos na Carteira Estratégica v2 e aplicam-se a todos os cadernos: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WIP limit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 (Crítico 90 dias)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limite no Q1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Máxima urgência — motor do ano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 (Estratégico do ano)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2–3 por motor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Ativadas após Q1 ou conforme gatilho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 (Melhoria)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1–2 por motor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Não disputam recursos do motor principal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por área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Máx. 5 ativas simultâneas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Exceção requer DEC-* com trade-off explícito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4.5  Dimensionamento financeiro (v2.0 — padrão LR-01)</w:t>
      </w: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Requisito novo na v2.0: todo caderno de Execução (11-X.2) deve incluir estimativa de custo (ordem de grandeza) para cada INIT, permitindo verificação contra o envelope orçamentário do DOC 09 v2 e o portfólio do DOC 08 v2. Sem custo, a iniciativa é ficção — não entra na Carteira.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4.6  Linguagem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Português como padrão. Inglês apenas quando necessário, com tradução entre parênteses (ex.: "war room (sala de situação)", "sell-ready (pronto para transação)").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Padrões de IDs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IDs padronizados para rastreabilidade em todos os documentos do PE2026: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P1..P5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 (Crescimento)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04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Subpilar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P?.S?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P2.S1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04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OKR-P2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P?.#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P2.3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 guardrail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A1 (Margem ≥ 30%)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 estratégico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P?.KPI-?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P2.KPI-1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 monetização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C1 (Run-rate)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 setorial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B.[ÁREA].KPI-?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B.MKT.KPI-1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11-X.1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Iniciativa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INIT-2026-###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INIT-2026-001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 / 11-X.2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EVID-2026-###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EVID-2026-001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11-X.2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DEC-2026-###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DEC-2026-001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LOG-DEC-2026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RSK-2026-##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RSK-2026-01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10 v2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Motor (carteira)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M1..M5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M1 (Monetização)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</w:t>
            </w:r>
          </w:p>
        </w:tc>
      </w:tr>
    </w:tbl>
    <w:p>
      <w:pPr>
        <w:spacing w:after="80"/>
      </w:pPr>
    </w:p>
    <w:p>
      <w:pPr>
        <w:pBdr>
          <w:left w:val="single" w:color="0E8C6B" w:sz="18" w:space="8"/>
        </w:pBdr>
        <w:shd w:fill="E8F8F5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Boa prática: reservar faixas de INIT por área para facilitar leitura — ex.: 001–022 corporativas (DOC 08 v2), 100–149 Marketing, 150–199 Operação, 200–249 CS, 250–299 P&amp;D, 300–349 RH, 350–399 Financeiro, 400–449 Comercial.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Template — DOC 11-[X] Macro (Gerencial)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Seções mínimas obrigatórias para o caderno Gerencial de cada área: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400"/>
        <w:gridCol w:w="2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 PE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Mandato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Por que a área existe em 2026 — missão, papel no PE, entrega principal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02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Norte estratégico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Tese do PE aplicada à área — qual é o norte do ano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02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Fronteiras (faz / não faz)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Delimitação clara + guardrails da área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04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Interfaces e SLAs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Clientes internos, entregas, prazos, qualidade esperada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03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setorial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KPIs com definição, fonte, cadência, dono + vínculo ao DOC 05 v2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 / 11-H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WBR/MBR/QBR: pauta, participantes, registros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03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RACI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Responsáveis e aprovadores por entrega principal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Riscos macro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Riscos da área + gatilhos + mitigação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10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Conclusão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Mandato resumido em 1 frase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Glossário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Termos específicos da área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Template — DOC 11-[X].1 Direção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Seções mínimas obrigatórias para o caderno de Direção: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00"/>
        <w:gridCol w:w="2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 PE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Análise interna + externa da área (forças, fraquezas, oportunidades)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01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Princípios de decisão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Critérios para escolhas — como a área prioriza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02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Prioridades por fase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P0 (Q1), P1 (Q2–Q3), P2 (Q4) — alinhadas à Carteira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OKRs setoriais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Objetivos + KRs da área — cada KR com EVID mínima definida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Dicionário de métricas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Definição, cálculo, fonte, dono, cadência de cada KPI/KR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Interdependências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Quem precisa de quem — mapa de dependências entre áreas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03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Riscos setoriais + plano + gatilhos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10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Conclusão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Síntese do norte da área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Glossário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Termos específicos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0C2340" w:sz="18" w:space="8"/>
        </w:pBdr>
        <w:shd w:fill="EBF5FB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Obrigatório: cada KR setorial deve indicar (a) qual KR corporativo do DOC 06 v2 ele movimenta, (b) qual EVID-* mínima prova sua conclusão, e (c) cadência de verificação.</w:t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Template — DOC 11-[X].2 Execução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Seções mínimas obrigatórias para o caderno de Execução: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000"/>
        <w:gridCol w:w="25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 PE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Arquitetura de execução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Programas da área (agrupamento lógico de INITs)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DoD mínimo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Definition of Done — padrão de qualidade para a área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03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Programas detalhados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Para cada programa: INITs, entregáveis, DoD, EVIDs, cadência, riscos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Custo por INIT (v2.0)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Ordem de grandeza de investimento — faixa em R$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 / 09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 e priorização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Regra de corte, limite de simultaneidade, critério de suspensão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08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Painéis mínimos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 que precisa existir para governar a área (dashboards, relatórios)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05 v2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Conclusão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Síntese do plano de execução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Glossário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Termos específicos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B8860B" w:sz="18" w:space="8"/>
        </w:pBdr>
        <w:shd w:fill="FEF9E7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v2.0 — Seção 4 (Custo por INIT) é nova. Reflete a resolução da lacuna LR-01: toda iniciativa no PE2026 revisado deve ter estimativa de custo (ordem de grandeza). Sem custo, a INIT não entra na Carteira Estratégica (DOC 08 v2) e não consome envelope orçamentário (DOC 09 v2).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Evidências: o que conta e o que não conta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9.1  Conta como evidência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exportado de CRM/financeiro/painel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 data, dono e versão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Documento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Playbook, manual, processo documentado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Versionado + checklist de qualidade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Registro de reunião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Ata de WBR/MBR com pauta e próximos passos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 participantes e data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Auditoria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Amostra trimestral com achados e correções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Metodologia documentada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Entrega em produção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Sistema/painel/automação em uso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 data de deploy e validação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Print/screenshot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Captura de tela de painel ou sistema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 fonte, data e referência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9.2  NÃO conta como evidência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dizem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não conta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"Feito no WhatsApp"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registro formal, sem rastreabilidade, sem versionamento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"Achamos que melhorou"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métrica, sem baseline, sem comparação objetiva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"Está quase pronto"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DoD, sem EVID, sem data de conclusão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"Todos sabem que funciona"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documentação, sem prova verificável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"O cliente gostou"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NPS, sem registro formal, sem evidência de satisfação</w:t>
            </w:r>
          </w:p>
        </w:tc>
      </w:tr>
    </w:tbl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Calibrações especiais por área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Duas áreas exigem tratamento diferenciado nos cadernos setoriais, conforme calibrações da Direção (fev/2026):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10.1  P&amp;D (11-C) — Direção Executiva + consultorias</w:t>
      </w:r>
    </w:p>
    <w:p>
      <w:pPr>
        <w:pBdr>
          <w:left w:val="single" w:color="B8860B" w:sz="18" w:space="8"/>
        </w:pBdr>
        <w:shd w:fill="FEF9E7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Calibração #4: P&amp;D não possui equipe dedicada em 2026. Opera como Direção Executiva + consultorias especializadas sob demanda. Os cadernos 11-C devem refletir essa realidade: não há "gestor de P&amp;D", não há "time de P&amp;D". INITs de produto/dados/IA são executadas via consultoria, com custos incluídos na estimativa de cada INIT-SIS. O orçamento de P&amp;D (R$ 801K no envelope DOC 09 v2) contempla honorários de consultoria, licenças e infraestrutura.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10.2  Comercial (11-F) — área em criação</w:t>
      </w:r>
    </w:p>
    <w:p>
      <w:pPr>
        <w:pBdr>
          <w:left w:val="single" w:color="B8860B" w:sz="18" w:space="8"/>
        </w:pBdr>
        <w:shd w:fill="FEF9E7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Calibração #2 / LC-06: a área Comercial não existe em fev/2026. Será criada a partir de mai/2026 com a contratação de liderança (INIT-016, R$ 12–16K/mês). Os cadernos 11-F devem tratar o Comercial como área a ser construída, não como área existente. Todos os KRs comerciais no DOC 06 v2 são condicionais: "quando área ativada". Estruturação (processos, CRM, pipeline) inicia após contratação — INIT-021 depende de INIT-016.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10.3  CS (11-E) — cadernos de Direção e Execução inexistentes</w:t>
      </w: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LC-05: CS possui caderno Gerencial (11-E) mas faltam Direção (11-E.1) e Execução (11-E.2). Esta é a lacuna mais crítica do B3 — CS é a área que conecta contrato a demanda e é pré-condição do motor de monetização (M1). Os cadernos devem ser construídos do zero seguindo os templates das Seções 7 e 8.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Vínculo com Placar Integrado (11-H)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Placar Integrado (DOC 11-H) consolida os KPIs de todos os cadernos setoriais em uma visão única de gestão. Cada caderno setorial alimenta o Placar com seus KPIs, e o Placar permite verificar rastreabilidade, cobertura e consistência.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11.1  Obrigações de cada caderno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KPI setorial deve ter ID padronizado (B.[ÁREA].KPI-#)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11-X.1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Definição única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Cada KPI deve indicar KR corporativo vinculado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11-X.1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Definição única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Valor atual (baseline) e meta 2026 devem estar definidos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11-X.1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Definição + MBR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Responsável (dono) do KPI deve estar nomeado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11-X.1 / 11-X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Definição única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Valor realizado deve ser reportado no Placar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11-H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(mensal)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Desvios &gt; 15% devem ter causa-raiz e plano de 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11-H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(mensal)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11.2  Estrutura do Placar Integrado (11-H)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11-H consolida em uma única visão: (1) KPIs guardrail (DOC 05 v2 — margem, NPS, receita); (2) KPIs estratégicos por pilar (DOC 05 v2); (3) KPIs de monetização (DOC 05 v2); (4) KPIs setoriais (DOC 11-X.1 de cada área). Formato: tabela única com área, ID, KPI, baseline, meta, realizado, status, dono, KR corporativo vinculado.</w:t>
      </w: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LC-04: o DOC 11-H está vazio na v1. Será construído no B3 após conclusão ou revisão dos cadernos setoriais, consolidando todos os KPIs em instrumento de gestão utilizável nos ritos WBR/MBR/QBR.</w:t>
      </w: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Caderno Gerencial (11-X)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Visão macro da área: mandato, fronteiras, governança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Caderno Direção (11-X.1)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Diagnóstico, prioridades e OKRs setoriais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Caderno Execução (11-X.2)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Programas, INITs, DoD, EVIDs, custos e cadência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Integrado (11-H)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Consolidação de KPIs de todas as áreas em visão única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DoD (Definition of Done)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Critério objetivo que define quando algo está concluído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 (Evidência)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verificável de conclusão de KR ou INIT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INIT (Iniciativa)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Ação concreta com dono, prazo, custo e evidência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 (Decisão)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Registro formal de decisão com justificativa e trade-off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RACI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Responsible, Accountable, Consulted, Informed — matriz de responsabilidades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SLA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Service Level Agreement — acordo de nível de serviço entre áreas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 limit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Limite de iniciativas simultâneas para evitar dispersão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Ordem de grandeza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Estimativa de custo em faixa (ex.: R$ 20–40K)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Cadeia verificável: Pilar → OKR → KR → INIT → EVID → KPI</w:t>
            </w:r>
          </w:p>
        </w:tc>
      </w:tr>
    </w:tbl>
    <w:p>
      <w:pPr>
        <w:spacing w:after="200"/>
      </w:pPr>
    </w:p>
    <w:p>
      <w:pPr>
        <w:pBdr>
          <w:top w:val="single" w:color="2980B9" w:sz="4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6"/>
          <w:szCs w:val="26"/>
        </w:rPr>
        <w:t xml:space="preserve">Conclusão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DOC 11 é o mecanismo que torna o PE2026 executável, auditável e repetível. Sem rastreabilidade, evidência e cadência, o plano vira narrativa. A v2 reforça três exigências: vínculo explícito com os documentos corporativos revisados (DOC 00–10 v2), dimensionamento financeiro obrigatório para cada iniciativa, e calibrações que refletem a realidade organizacional de fevereiro/2026 — P&amp;D sem equipe dedicada, Comercial como área a ser criada, e CS como prioridade de completude.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Documento revisado em 01/mar/2026 como parte dos Blocos B3 (Completude) e B5 (Integração) do PE2026.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72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" w:cs="Calibri" w:eastAsia="Calibri" w:hAnsi="Calibri"/>
        <w:b/>
        <w:bCs/>
        <w:color w:val="0C2340"/>
        <w:sz w:val="16"/>
        <w:szCs w:val="16"/>
      </w:rPr>
      <w:t xml:space="preserve">PE 2026</w:t>
    </w:r>
    <w:r>
      <w:rPr>
        <w:rFonts w:ascii="Calibri" w:cs="Calibri" w:eastAsia="Calibri" w:hAnsi="Calibri"/>
        <w:color w:val="64748B"/>
        <w:sz w:val="16"/>
        <w:szCs w:val="16"/>
      </w:rPr>
      <w:t xml:space="preserve">  |  Guia de Desdobramento — Padrão dos Cadernos Setoriais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2026-03-02T02:36:56.695Z</dcterms:created>
  <dcterms:modified xsi:type="dcterms:W3CDTF">2026-03-02T02:36:56.696Z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