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pBdr>
          <w:bottom w:val="single" w:color="2980B9" w:sz="12" w:space="8"/>
        </w:pBdr>
      </w:pPr>
      <w:r>
        <w:rPr>
          <w:rFonts w:ascii="Calibri Light" w:cs="Calibri Light" w:eastAsia="Calibri Light" w:hAnsi="Calibri Light"/>
          <w:b w:val="false"/>
          <w:bCs w:val="false"/>
          <w:i w:val="false"/>
          <w:iCs w:val="false"/>
          <w:color w:val="2980B9"/>
          <w:sz w:val="22"/>
          <w:szCs w:val="22"/>
        </w:rPr>
        <w:t xml:space="preserve">PE 2026</w:t>
      </w:r>
    </w:p>
    <w:p>
      <w:pPr>
        <w:spacing w:before="200" w:after="40"/>
      </w:pPr>
      <w:r>
        <w:rPr>
          <w:rFonts w:ascii="Calibri Light" w:cs="Calibri Light" w:eastAsia="Calibri Light" w:hAnsi="Calibri Light"/>
          <w:b w:val="false"/>
          <w:bCs w:val="false"/>
          <w:i w:val="false"/>
          <w:iCs w:val="false"/>
          <w:color w:val="0C2340"/>
          <w:sz w:val="48"/>
          <w:szCs w:val="48"/>
        </w:rPr>
        <w:t xml:space="preserve">MAP-TRC-2026</w:t>
      </w:r>
    </w:p>
    <w:p>
      <w:pPr>
        <w:spacing w:after="200"/>
      </w:pPr>
      <w:r>
        <w:rPr>
          <w:rFonts w:ascii="Calibri Light" w:cs="Calibri Light" w:eastAsia="Calibri Light" w:hAnsi="Calibri Light"/>
          <w:b w:val="false"/>
          <w:bCs w:val="false"/>
          <w:i w:val="false"/>
          <w:iCs w:val="false"/>
          <w:color w:val="163B5C"/>
          <w:sz w:val="32"/>
          <w:szCs w:val="32"/>
        </w:rPr>
        <w:t xml:space="preserve">Mapa de Rastreabilidade Integrado</w:t>
      </w:r>
    </w:p>
    <w:p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20"/>
          <w:szCs w:val="20"/>
        </w:rPr>
        <w:t xml:space="preserve">Integração · Consistência · Fechamento do PE2026</w:t>
      </w:r>
    </w:p>
    <w:p>
      <w:pPr>
        <w:spacing w:before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Versão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Data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Março/2026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Bloco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B5 — Integração e Rastreabilidade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Classificação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Confidencial — Uso interno da Direção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Cláudio Ribeiro — Direção Executiva</w:t>
            </w:r>
          </w:p>
        </w:tc>
      </w:tr>
    </w:tbl>
    <w:p>
      <w:pPr>
        <w:pBdr>
          <w:left w:val="single" w:color="0C2340" w:sz="18" w:space="8"/>
        </w:pBdr>
        <w:shd w:fill="E8EBF0" w:val="clear"/>
        <w:spacing w:before="120" w:after="120"/>
        <w:ind w:left="200"/>
      </w:pPr>
      <w:r>
        <w:rPr>
          <w:rFonts w:ascii="Calibri" w:cs="Calibri" w:eastAsia="Calibri" w:hAnsi="Calibri"/>
          <w:b w:val="false"/>
          <w:bCs w:val="false"/>
          <w:i/>
          <w:iCs/>
          <w:color w:val="334155"/>
          <w:sz w:val="18"/>
          <w:szCs w:val="18"/>
        </w:rPr>
        <w:t xml:space="preserve">Este documento é o artefato de fechamento do PE2026 revisado. Consolida a rastreabilidade completa (Pilar→OKR→KR→INIT→EVID→KPI), valida consistência entre 32+ documentos e registra o status final. Qualquer KPI do 11-H pode ser rastreado até o pilar que o originou.</w:t>
      </w:r>
    </w:p>
    <w:p>
      <w:r>
        <w:br w:type="page"/>
      </w:r>
    </w:p>
    <w:p>
      <w:pPr>
        <w:pStyle w:val="Heading1"/>
        <w:pBdr>
          <w:bottom w:val="single" w:color="2980B9" w:sz="6" w:space="4"/>
        </w:pBdr>
        <w:spacing w:before="360" w:after="160"/>
      </w:pPr>
      <w:r>
        <w:rPr>
          <w:rFonts w:ascii="Calibri Light" w:cs="Calibri Light" w:eastAsia="Calibri Light" w:hAnsi="Calibri Light"/>
          <w:b w:val="false"/>
          <w:bCs w:val="false"/>
          <w:i w:val="false"/>
          <w:iCs w:val="false"/>
          <w:color w:val="2980B9"/>
          <w:sz w:val="30"/>
          <w:szCs w:val="30"/>
        </w:rPr>
        <w:t xml:space="preserve">  </w:t>
      </w:r>
      <w:r>
        <w:rPr>
          <w:rFonts w:ascii="Calibri Light" w:cs="Calibri Light" w:eastAsia="Calibri Light" w:hAnsi="Calibri Light"/>
          <w:b w:val="false"/>
          <w:bCs w:val="false"/>
          <w:i w:val="false"/>
          <w:iCs w:val="false"/>
          <w:color w:val="0C2340"/>
          <w:sz w:val="30"/>
          <w:szCs w:val="30"/>
        </w:rPr>
        <w:t xml:space="preserve">Dashboard de Fechamento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BF0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C2340"/>
                <w:sz w:val="28"/>
                <w:szCs w:val="28"/>
              </w:rPr>
              <w:t xml:space="preserve">5/5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4"/>
                <w:szCs w:val="14"/>
              </w:rPr>
              <w:t xml:space="preserve">BLOCOS CONCLUÍDOS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BF0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C2340"/>
                <w:sz w:val="28"/>
                <w:szCs w:val="28"/>
              </w:rPr>
              <w:t xml:space="preserve">9/9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4"/>
                <w:szCs w:val="14"/>
              </w:rPr>
              <w:t xml:space="preserve">LACUNAS RESOLVIDAS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BF0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C2340"/>
                <w:sz w:val="28"/>
                <w:szCs w:val="28"/>
              </w:rPr>
              <w:t xml:space="preserve">11/11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4"/>
                <w:szCs w:val="14"/>
              </w:rPr>
              <w:t xml:space="preserve">CRITÉRIOS ATENDIDOS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BF0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C2340"/>
                <w:sz w:val="28"/>
                <w:szCs w:val="28"/>
              </w:rPr>
              <w:t xml:space="preserve">32+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4"/>
                <w:szCs w:val="14"/>
              </w:rPr>
              <w:t xml:space="preserve">DOCUMENTOS INTEGRADOS</w:t>
            </w:r>
          </w:p>
        </w:tc>
      </w:tr>
    </w:tbl>
    <w:p>
      <w:pPr>
        <w:spacing w:before="200"/>
      </w:pPr>
    </w:p>
    <w:p>
      <w:pPr>
        <w:pStyle w:val="Heading1"/>
        <w:pBdr>
          <w:bottom w:val="single" w:color="2980B9" w:sz="6" w:space="4"/>
        </w:pBdr>
        <w:spacing w:before="360" w:after="160"/>
      </w:pPr>
      <w:r>
        <w:rPr>
          <w:rFonts w:ascii="Calibri Light" w:cs="Calibri Light" w:eastAsia="Calibri Light" w:hAnsi="Calibri Light"/>
          <w:b w:val="false"/>
          <w:bCs w:val="false"/>
          <w:i w:val="false"/>
          <w:iCs w:val="false"/>
          <w:color w:val="2980B9"/>
          <w:sz w:val="30"/>
          <w:szCs w:val="30"/>
        </w:rPr>
        <w:t xml:space="preserve">1  </w:t>
      </w:r>
      <w:r>
        <w:rPr>
          <w:rFonts w:ascii="Calibri Light" w:cs="Calibri Light" w:eastAsia="Calibri Light" w:hAnsi="Calibri Light"/>
          <w:b w:val="false"/>
          <w:bCs w:val="false"/>
          <w:i w:val="false"/>
          <w:iCs w:val="false"/>
          <w:color w:val="0C2340"/>
          <w:sz w:val="30"/>
          <w:szCs w:val="30"/>
        </w:rPr>
        <w:t xml:space="preserve">Status de fechamento B1–B5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00"/>
        <w:gridCol w:w="57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Bloco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Escopo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Entregáveis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B1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Recalibração Estratégica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✅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DOC 01, 02, 10 v2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B2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OKRs e Metas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✅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DOC 06 v2, DOC 07 v2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B3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Completude Estrutural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✅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21 cadernos + 11-H + 6 REs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B4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Camada Financeira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✅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DOC 09 v3 (11 centros, R$8.002K)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B5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Integração e Rastreabilidade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✅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MAP-TRC-2026 + validações</w:t>
            </w:r>
          </w:p>
        </w:tc>
      </w:tr>
    </w:tbl>
    <w:p>
      <w:pPr>
        <w:pStyle w:val="Heading1"/>
        <w:pBdr>
          <w:bottom w:val="single" w:color="2980B9" w:sz="6" w:space="4"/>
        </w:pBdr>
        <w:spacing w:before="360" w:after="160"/>
      </w:pPr>
      <w:r>
        <w:rPr>
          <w:rFonts w:ascii="Calibri Light" w:cs="Calibri Light" w:eastAsia="Calibri Light" w:hAnsi="Calibri Light"/>
          <w:b w:val="false"/>
          <w:bCs w:val="false"/>
          <w:i w:val="false"/>
          <w:iCs w:val="false"/>
          <w:color w:val="2980B9"/>
          <w:sz w:val="30"/>
          <w:szCs w:val="30"/>
        </w:rPr>
        <w:t xml:space="preserve">2  </w:t>
      </w:r>
      <w:r>
        <w:rPr>
          <w:rFonts w:ascii="Calibri Light" w:cs="Calibri Light" w:eastAsia="Calibri Light" w:hAnsi="Calibri Light"/>
          <w:b w:val="false"/>
          <w:bCs w:val="false"/>
          <w:i w:val="false"/>
          <w:iCs w:val="false"/>
          <w:color w:val="0C2340"/>
          <w:sz w:val="30"/>
          <w:szCs w:val="30"/>
        </w:rPr>
        <w:t xml:space="preserve">Lacunas — status final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500"/>
        <w:gridCol w:w="58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Lacuna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5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Resolução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LC-01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Orçamento por área inexistente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✅</w:t>
            </w:r>
          </w:p>
        </w:tc>
        <w:tc>
          <w:tcPr>
            <w:tcW w:type="dxa" w:w="58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DOC 09 v3 — 11 centros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LC-02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Custo contratações não projetado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✅</w:t>
            </w:r>
          </w:p>
        </w:tc>
        <w:tc>
          <w:tcPr>
            <w:tcW w:type="dxa" w:w="58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DOC 09 v3 — R$353–478K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LC-03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KRs Q1 com datas irrealistas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✅</w:t>
            </w:r>
          </w:p>
        </w:tc>
        <w:tc>
          <w:tcPr>
            <w:tcW w:type="dxa" w:w="58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DOC 06 v2 — recalibrados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LC-04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Placar Integrado vazio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✅</w:t>
            </w:r>
          </w:p>
        </w:tc>
        <w:tc>
          <w:tcPr>
            <w:tcW w:type="dxa" w:w="58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11-H v2 — 52 KPIs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LC-05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Cadernos CS inexistentes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✅</w:t>
            </w:r>
          </w:p>
        </w:tc>
        <w:tc>
          <w:tcPr>
            <w:tcW w:type="dxa" w:w="58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11-E completo + RE-CS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LC-06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Comercial como existente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✅</w:t>
            </w:r>
          </w:p>
        </w:tc>
        <w:tc>
          <w:tcPr>
            <w:tcW w:type="dxa" w:w="58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Corrigido em todos DOCs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LC-07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Resolução SES/MG como vigente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✅</w:t>
            </w:r>
          </w:p>
        </w:tc>
        <w:tc>
          <w:tcPr>
            <w:tcW w:type="dxa" w:w="58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B1 — DOC 01/02/10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LC-08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Margem por cenário inexistente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✅</w:t>
            </w:r>
          </w:p>
        </w:tc>
        <w:tc>
          <w:tcPr>
            <w:tcW w:type="dxa" w:w="58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DOC 07 v2 — 3 cenários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LR-04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Recurso municipal como programa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✅</w:t>
            </w:r>
          </w:p>
        </w:tc>
        <w:tc>
          <w:tcPr>
            <w:tcW w:type="dxa" w:w="58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B1 — canal reativo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980B9" w:sz="6" w:space="4"/>
        </w:pBdr>
        <w:spacing w:before="360" w:after="160"/>
      </w:pPr>
      <w:r>
        <w:rPr>
          <w:rFonts w:ascii="Calibri Light" w:cs="Calibri Light" w:eastAsia="Calibri Light" w:hAnsi="Calibri Light"/>
          <w:b w:val="false"/>
          <w:bCs w:val="false"/>
          <w:i w:val="false"/>
          <w:iCs w:val="false"/>
          <w:color w:val="2980B9"/>
          <w:sz w:val="30"/>
          <w:szCs w:val="30"/>
        </w:rPr>
        <w:t xml:space="preserve">3  </w:t>
      </w:r>
      <w:r>
        <w:rPr>
          <w:rFonts w:ascii="Calibri Light" w:cs="Calibri Light" w:eastAsia="Calibri Light" w:hAnsi="Calibri Light"/>
          <w:b w:val="false"/>
          <w:bCs w:val="false"/>
          <w:i w:val="false"/>
          <w:iCs w:val="false"/>
          <w:color w:val="0C2340"/>
          <w:sz w:val="30"/>
          <w:szCs w:val="30"/>
        </w:rPr>
        <w:t xml:space="preserve">Checklist de consistência</w:t>
      </w:r>
    </w:p>
    <w:p>
      <w:pPr>
        <w:spacing w:before="80" w:after="80" w:line="26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Critérios de sucesso definidos no Guia v2 (Seção 7), verificados contra entregas realizadas.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500"/>
        <w:gridCol w:w="52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Critério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5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Evidência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KRs corporativos com timeline realista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✅</w:t>
            </w:r>
          </w:p>
        </w:tc>
        <w:tc>
          <w:tcPr>
            <w:tcW w:type="dxa" w:w="52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DOC 06 v2 — 25 KRs recalibrados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100% KRs setoriais conectados a KR corp.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✅</w:t>
            </w:r>
          </w:p>
        </w:tc>
        <w:tc>
          <w:tcPr>
            <w:tcW w:type="dxa" w:w="52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Cadernos 11-A a 11-G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Programas com ordem de grandeza de investimento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✅</w:t>
            </w:r>
          </w:p>
        </w:tc>
        <w:tc>
          <w:tcPr>
            <w:tcW w:type="dxa" w:w="52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REs + DOC 09 v3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≥ 2 cenários de margem documentados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✅</w:t>
            </w:r>
          </w:p>
        </w:tc>
        <w:tc>
          <w:tcPr>
            <w:tcW w:type="dxa" w:w="52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DOC 07 v2 — 3 cenários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Placar Integrado populado e utilizável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✅</w:t>
            </w:r>
          </w:p>
        </w:tc>
        <w:tc>
          <w:tcPr>
            <w:tcW w:type="dxa" w:w="52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11-H v2 — 52 KPIs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6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Referências regulatórias atualizadas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✅</w:t>
            </w:r>
          </w:p>
        </w:tc>
        <w:tc>
          <w:tcPr>
            <w:tcW w:type="dxa" w:w="52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B1 — Res. 9.035→10.402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7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CS com cadernos completos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✅</w:t>
            </w:r>
          </w:p>
        </w:tc>
        <w:tc>
          <w:tcPr>
            <w:tcW w:type="dxa" w:w="52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11-E + RE-CS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8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Nenhuma área inexistente sem explicitação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✅</w:t>
            </w:r>
          </w:p>
        </w:tc>
        <w:tc>
          <w:tcPr>
            <w:tcW w:type="dxa" w:w="52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LC-06 corrigida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9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Formato duplo .docx + .md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✅</w:t>
            </w:r>
          </w:p>
        </w:tc>
        <w:tc>
          <w:tcPr>
            <w:tcW w:type="dxa" w:w="52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Todos os entregáveis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10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Programa IA/Automação definido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✅</w:t>
            </w:r>
          </w:p>
        </w:tc>
        <w:tc>
          <w:tcPr>
            <w:tcW w:type="dxa" w:w="52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Cal.#10 — R$300K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11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Aero 2 cenários + gatilho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✅</w:t>
            </w:r>
          </w:p>
        </w:tc>
        <w:tc>
          <w:tcPr>
            <w:tcW w:type="dxa" w:w="52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DOC 07 + caderno COM</w:t>
            </w:r>
          </w:p>
        </w:tc>
      </w:tr>
    </w:tbl>
    <w:p>
      <w:pPr>
        <w:pBdr>
          <w:left w:val="single" w:color="0E8C6B" w:sz="18" w:space="8"/>
        </w:pBdr>
        <w:shd w:fill="E6F5F0" w:val="clear"/>
        <w:spacing w:before="120" w:after="120"/>
        <w:ind w:left="200"/>
      </w:pPr>
      <w:r>
        <w:rPr>
          <w:rFonts w:ascii="Calibri" w:cs="Calibri" w:eastAsia="Calibri" w:hAnsi="Calibri"/>
          <w:b w:val="false"/>
          <w:bCs w:val="false"/>
          <w:i/>
          <w:iCs/>
          <w:color w:val="334155"/>
          <w:sz w:val="18"/>
          <w:szCs w:val="18"/>
        </w:rPr>
        <w:t xml:space="preserve">Resultado: 11/11 critérios de sucesso atendidos. O PE2026 revisado atende todos os requisitos definidos no Guia de Instruções.</w:t>
      </w:r>
    </w:p>
    <w:p>
      <w:r>
        <w:br w:type="page"/>
      </w:r>
    </w:p>
    <w:p>
      <w:pPr>
        <w:pStyle w:val="Heading1"/>
        <w:pBdr>
          <w:bottom w:val="single" w:color="2980B9" w:sz="6" w:space="4"/>
        </w:pBdr>
        <w:spacing w:before="360" w:after="160"/>
      </w:pPr>
      <w:r>
        <w:rPr>
          <w:rFonts w:ascii="Calibri Light" w:cs="Calibri Light" w:eastAsia="Calibri Light" w:hAnsi="Calibri Light"/>
          <w:b w:val="false"/>
          <w:bCs w:val="false"/>
          <w:i w:val="false"/>
          <w:iCs w:val="false"/>
          <w:color w:val="2980B9"/>
          <w:sz w:val="30"/>
          <w:szCs w:val="30"/>
        </w:rPr>
        <w:t xml:space="preserve">4  </w:t>
      </w:r>
      <w:r>
        <w:rPr>
          <w:rFonts w:ascii="Calibri Light" w:cs="Calibri Light" w:eastAsia="Calibri Light" w:hAnsi="Calibri Light"/>
          <w:b w:val="false"/>
          <w:bCs w:val="false"/>
          <w:i w:val="false"/>
          <w:iCs w:val="false"/>
          <w:color w:val="0C2340"/>
          <w:sz w:val="30"/>
          <w:szCs w:val="30"/>
        </w:rPr>
        <w:t xml:space="preserve">Rastreabilidade por pilar</w:t>
      </w:r>
    </w:p>
    <w:p>
      <w:pPr>
        <w:spacing w:before="80" w:after="80" w:line="26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Cada pilar é rastreado desde a definição institucional (DOC 04) até os KPIs operacionais (11-H), passando por OKRs, KRs, cadernos, INITs e centros de custo.</w:t>
      </w:r>
    </w:p>
    <w:p>
      <w:pPr>
        <w:pStyle w:val="Heading2"/>
        <w:spacing w:before="240"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163B5C"/>
          <w:sz w:val="22"/>
          <w:szCs w:val="22"/>
        </w:rPr>
        <w:t xml:space="preserve">P1 — Governança e Padrão Auditável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300"/>
        <w:gridCol w:w="4000"/>
        <w:gridCol w:w="32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Nível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3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Documento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Pilar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P1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Estrutura corporativa e preparação para transação</w:t>
            </w:r>
          </w:p>
        </w:tc>
        <w:tc>
          <w:tcPr>
            <w:tcW w:type="dxa" w:w="32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DOC 04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OKR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OKR-P1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Governança, Separação e Padrão Auditável</w:t>
            </w:r>
          </w:p>
        </w:tc>
        <w:tc>
          <w:tcPr>
            <w:tcW w:type="dxa" w:w="32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DOC 06 v2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KR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P1.1–P1.5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5 KRs (P&amp;L, centros, riscos, evidências, separação)</w:t>
            </w:r>
          </w:p>
        </w:tc>
        <w:tc>
          <w:tcPr>
            <w:tcW w:type="dxa" w:w="32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DOC 06 v2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Caderno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11-G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Financeiro operacionaliza P1.1/P1.2</w:t>
            </w:r>
          </w:p>
        </w:tc>
        <w:tc>
          <w:tcPr>
            <w:tcW w:type="dxa" w:w="32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11-G v2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INITs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006, 007, 019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Compliance, apuração gerencial, modelo separação</w:t>
            </w:r>
          </w:p>
        </w:tc>
        <w:tc>
          <w:tcPr>
            <w:tcW w:type="dxa" w:w="32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DOC 08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KPIs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P1-01 a P1-03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Separação, disciplina documental, risco regulatório</w:t>
            </w:r>
          </w:p>
        </w:tc>
        <w:tc>
          <w:tcPr>
            <w:tcW w:type="dxa" w:w="32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11-H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Envelope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R$ 1.297K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Estratégico + Financeiro + ADM</w:t>
            </w:r>
          </w:p>
        </w:tc>
        <w:tc>
          <w:tcPr>
            <w:tcW w:type="dxa" w:w="32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DOC 09 v3</w:t>
            </w:r>
          </w:p>
        </w:tc>
      </w:tr>
    </w:tbl>
    <w:p>
      <w:pPr>
        <w:pStyle w:val="Heading2"/>
        <w:spacing w:before="240"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163B5C"/>
          <w:sz w:val="22"/>
          <w:szCs w:val="22"/>
        </w:rPr>
        <w:t xml:space="preserve">P2 — Crescimento e Monetização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300"/>
        <w:gridCol w:w="4000"/>
        <w:gridCol w:w="32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Nível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3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Documento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Pilar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P2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Crescimento, expansão e diversificação</w:t>
            </w:r>
          </w:p>
        </w:tc>
        <w:tc>
          <w:tcPr>
            <w:tcW w:type="dxa" w:w="32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DOC 04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OKR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OKR-P2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Monetização da Base Contratual</w:t>
            </w:r>
          </w:p>
        </w:tc>
        <w:tc>
          <w:tcPr>
            <w:tcW w:type="dxa" w:w="32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DOC 06 v2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KR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P2.1–P2.5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5 KRs (execução Q1, saldo, Sala, ativação, Pareto)</w:t>
            </w:r>
          </w:p>
        </w:tc>
        <w:tc>
          <w:tcPr>
            <w:tcW w:type="dxa" w:w="32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DOC 06 v2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Cadernos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11-E, 11-F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CS + Comercial</w:t>
            </w:r>
          </w:p>
        </w:tc>
        <w:tc>
          <w:tcPr>
            <w:tcW w:type="dxa" w:w="32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11-E/F v2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INITs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001–005, 017–018, 021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Sala Situação, Pareto, feiras, Comercial</w:t>
            </w:r>
          </w:p>
        </w:tc>
        <w:tc>
          <w:tcPr>
            <w:tcW w:type="dxa" w:w="32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DOC 08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KPIs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P2-01 a P2-03 + M-01 a M-07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3 pilar + 7 monetização = 10 KPIs</w:t>
            </w:r>
          </w:p>
        </w:tc>
        <w:tc>
          <w:tcPr>
            <w:tcW w:type="dxa" w:w="32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11-H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Envelope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R$ 2.100K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Comercial + Marketing</w:t>
            </w:r>
          </w:p>
        </w:tc>
        <w:tc>
          <w:tcPr>
            <w:tcW w:type="dxa" w:w="32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DOC 09 v3</w:t>
            </w:r>
          </w:p>
        </w:tc>
      </w:tr>
    </w:tbl>
    <w:p>
      <w:pPr>
        <w:pStyle w:val="Heading2"/>
        <w:spacing w:before="240"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163B5C"/>
          <w:sz w:val="22"/>
          <w:szCs w:val="22"/>
        </w:rPr>
        <w:t xml:space="preserve">P3 — Escala Operacional com Margem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300"/>
        <w:gridCol w:w="4000"/>
        <w:gridCol w:w="32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Nível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3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Documento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Pilar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P3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Excelência operacional e escala</w:t>
            </w:r>
          </w:p>
        </w:tc>
        <w:tc>
          <w:tcPr>
            <w:tcW w:type="dxa" w:w="32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DOC 04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OKR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OKR-P3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Escala com Margem, Qualidade e Prontidão</w:t>
            </w:r>
          </w:p>
        </w:tc>
        <w:tc>
          <w:tcPr>
            <w:tcW w:type="dxa" w:w="32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DOC 06 v2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KR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P3.1–P3.5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5 KRs (margem, capacidade, retrabalho, SLA, integração)</w:t>
            </w:r>
          </w:p>
        </w:tc>
        <w:tc>
          <w:tcPr>
            <w:tcW w:type="dxa" w:w="32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DOC 06 v2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Cadernos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11-D, 11-G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Operação + Financeiro</w:t>
            </w:r>
          </w:p>
        </w:tc>
        <w:tc>
          <w:tcPr>
            <w:tcW w:type="dxa" w:w="32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11-D/G v2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INITs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005, 008, 009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Integração, capacidade Q1, qualidade/SLA</w:t>
            </w:r>
          </w:p>
        </w:tc>
        <w:tc>
          <w:tcPr>
            <w:tcW w:type="dxa" w:w="32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DOC 08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KPIs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G-01, G-03, P3-01 a P3-03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2 guardrails + 3 pilar</w:t>
            </w:r>
          </w:p>
        </w:tc>
        <w:tc>
          <w:tcPr>
            <w:tcW w:type="dxa" w:w="32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11-H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Envelope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R$ 2.874K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Operações + Tributário + CAPEX</w:t>
            </w:r>
          </w:p>
        </w:tc>
        <w:tc>
          <w:tcPr>
            <w:tcW w:type="dxa" w:w="32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DOC 09 v3</w:t>
            </w:r>
          </w:p>
        </w:tc>
      </w:tr>
    </w:tbl>
    <w:p>
      <w:pPr>
        <w:pStyle w:val="Heading2"/>
        <w:spacing w:before="240"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163B5C"/>
          <w:sz w:val="22"/>
          <w:szCs w:val="22"/>
        </w:rPr>
        <w:t xml:space="preserve">P4 — Produto, Dados e 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300"/>
        <w:gridCol w:w="4000"/>
        <w:gridCol w:w="32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Nível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3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Documento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Pilar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P4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Produto, dados e IA como vantagem defensável</w:t>
            </w:r>
          </w:p>
        </w:tc>
        <w:tc>
          <w:tcPr>
            <w:tcW w:type="dxa" w:w="32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DOC 04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OKR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OKR-P4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Produto, Dados e IA como Vantagem</w:t>
            </w:r>
          </w:p>
        </w:tc>
        <w:tc>
          <w:tcPr>
            <w:tcW w:type="dxa" w:w="32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DOC 06 v2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KR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P4.1–P4.5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5 KRs (evidências, prova valor, painel, uso, automação)</w:t>
            </w:r>
          </w:p>
        </w:tc>
        <w:tc>
          <w:tcPr>
            <w:tcW w:type="dxa" w:w="32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DOC 06 v2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Caderno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11-C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P&amp;D — Direção + consultorias (Cal.#4)</w:t>
            </w:r>
          </w:p>
        </w:tc>
        <w:tc>
          <w:tcPr>
            <w:tcW w:type="dxa" w:w="32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11-C v2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INITs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003, 004, 010, 011, 014, 020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Painel, evidências, IA, baseline</w:t>
            </w:r>
          </w:p>
        </w:tc>
        <w:tc>
          <w:tcPr>
            <w:tcW w:type="dxa" w:w="32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DOC 08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KPIs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P4-01 a P4-03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Produto, evidência, automação</w:t>
            </w:r>
          </w:p>
        </w:tc>
        <w:tc>
          <w:tcPr>
            <w:tcW w:type="dxa" w:w="32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11-H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Envelope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R$ 1.101K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P&amp;D R$801K + Tecnologia/IA R$300K</w:t>
            </w:r>
          </w:p>
        </w:tc>
        <w:tc>
          <w:tcPr>
            <w:tcW w:type="dxa" w:w="32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DOC 09 v3</w:t>
            </w:r>
          </w:p>
        </w:tc>
      </w:tr>
    </w:tbl>
    <w:p>
      <w:pPr>
        <w:pStyle w:val="Heading2"/>
        <w:spacing w:before="240"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163B5C"/>
          <w:sz w:val="22"/>
          <w:szCs w:val="22"/>
        </w:rPr>
        <w:t xml:space="preserve">P5 — Pessoas e Liderança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300"/>
        <w:gridCol w:w="4000"/>
        <w:gridCol w:w="32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Nível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3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Documento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Pilar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P5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Pessoas, liderança e capacidade intelectual</w:t>
            </w:r>
          </w:p>
        </w:tc>
        <w:tc>
          <w:tcPr>
            <w:tcW w:type="dxa" w:w="32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DOC 04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OKR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OKR-P5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Densidade Intelectual, Liderança e Capacidade</w:t>
            </w:r>
          </w:p>
        </w:tc>
        <w:tc>
          <w:tcPr>
            <w:tcW w:type="dxa" w:w="32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DOC 06 v2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KR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P5.1–P5.5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5 KRs (turnover, engajamento, rituais, posições, onboarding)</w:t>
            </w:r>
          </w:p>
        </w:tc>
        <w:tc>
          <w:tcPr>
            <w:tcW w:type="dxa" w:w="32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DOC 06 v2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Caderno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11-A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RH — infraestrutura de escala</w:t>
            </w:r>
          </w:p>
        </w:tc>
        <w:tc>
          <w:tcPr>
            <w:tcW w:type="dxa" w:w="32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11-A v2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RE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RE-RH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16 INITs operacionais, R$139–232K</w:t>
            </w:r>
          </w:p>
        </w:tc>
        <w:tc>
          <w:tcPr>
            <w:tcW w:type="dxa" w:w="32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RE-RH v1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INITs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012, 013, 015, 016, 022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Contratações, onboarding, rituais</w:t>
            </w:r>
          </w:p>
        </w:tc>
        <w:tc>
          <w:tcPr>
            <w:tcW w:type="dxa" w:w="32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DOC 08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KPIs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G-04, P5-01 a P5-04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1 guardrail + 4 pilar</w:t>
            </w:r>
          </w:p>
        </w:tc>
        <w:tc>
          <w:tcPr>
            <w:tcW w:type="dxa" w:w="32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11-H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Envelope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R$ 630K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RH / Pessoas</w:t>
            </w:r>
          </w:p>
        </w:tc>
        <w:tc>
          <w:tcPr>
            <w:tcW w:type="dxa" w:w="32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DOC 09 v3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980B9" w:sz="6" w:space="4"/>
        </w:pBdr>
        <w:spacing w:before="360" w:after="160"/>
      </w:pPr>
      <w:r>
        <w:rPr>
          <w:rFonts w:ascii="Calibri Light" w:cs="Calibri Light" w:eastAsia="Calibri Light" w:hAnsi="Calibri Light"/>
          <w:b w:val="false"/>
          <w:bCs w:val="false"/>
          <w:i w:val="false"/>
          <w:iCs w:val="false"/>
          <w:color w:val="2980B9"/>
          <w:sz w:val="30"/>
          <w:szCs w:val="30"/>
        </w:rPr>
        <w:t xml:space="preserve">5  </w:t>
      </w:r>
      <w:r>
        <w:rPr>
          <w:rFonts w:ascii="Calibri Light" w:cs="Calibri Light" w:eastAsia="Calibri Light" w:hAnsi="Calibri Light"/>
          <w:b w:val="false"/>
          <w:bCs w:val="false"/>
          <w:i w:val="false"/>
          <w:iCs w:val="false"/>
          <w:color w:val="0C2340"/>
          <w:sz w:val="30"/>
          <w:szCs w:val="30"/>
        </w:rPr>
        <w:t xml:space="preserve">Notas de validação — DOCs 03, 04, 05, 08</w:t>
      </w:r>
    </w:p>
    <w:p>
      <w:pPr>
        <w:pStyle w:val="Heading2"/>
        <w:spacing w:before="240"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163B5C"/>
          <w:sz w:val="22"/>
          <w:szCs w:val="22"/>
        </w:rPr>
        <w:t xml:space="preserve">DOC 03 — Arquitetura de Execução (v2)</w:t>
      </w:r>
    </w:p>
    <w:p>
      <w:pPr>
        <w:spacing w:before="80" w:after="80" w:line="26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Status B5: </w:t>
      </w:r>
      <w:r>
        <w:rPr>
          <w:rFonts w:ascii="Calibri" w:cs="Calibri" w:eastAsia="Calibri" w:hAnsi="Calibri"/>
          <w:b/>
          <w:bCs/>
          <w:i w:val="false"/>
          <w:iCs w:val="false"/>
          <w:color w:val="0E8C6B"/>
          <w:sz w:val="20"/>
          <w:szCs w:val="20"/>
        </w:rPr>
        <w:t xml:space="preserve">✅ Validado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 — estrutura preservada, coerente com sistema completo. WIP limits (7–10) devem ser lidos com DOC 08 v2 (22 INITs, limites por motor). Camada 3 (REs) estende a governança para nível operacional. DOC 09 v3 opera com 11 centros.</w:t>
      </w:r>
    </w:p>
    <w:p>
      <w:pPr>
        <w:pStyle w:val="Heading2"/>
        <w:spacing w:before="240"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163B5C"/>
          <w:sz w:val="22"/>
          <w:szCs w:val="22"/>
        </w:rPr>
        <w:t xml:space="preserve">DOC 04 — Pilares Institucionais (v2)</w:t>
      </w:r>
    </w:p>
    <w:p>
      <w:pPr>
        <w:spacing w:before="80" w:after="80" w:line="26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Status B5: </w:t>
      </w:r>
      <w:r>
        <w:rPr>
          <w:rFonts w:ascii="Calibri" w:cs="Calibri" w:eastAsia="Calibri" w:hAnsi="Calibri"/>
          <w:b/>
          <w:bCs/>
          <w:i w:val="false"/>
          <w:iCs w:val="false"/>
          <w:color w:val="0E8C6B"/>
          <w:sz w:val="20"/>
          <w:szCs w:val="20"/>
        </w:rPr>
        <w:t xml:space="preserve">✅ Validado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 — arquitetura P1–P5 intacta. 5 pilares refletidos em 5 OKRs, 7 áreas, 52 KPIs e 22 INITs. O 11-H popula integralmente a Camada B do placar.</w:t>
      </w:r>
    </w:p>
    <w:p>
      <w:pPr>
        <w:pStyle w:val="Heading2"/>
        <w:spacing w:before="240"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163B5C"/>
          <w:sz w:val="22"/>
          <w:szCs w:val="22"/>
        </w:rPr>
        <w:t xml:space="preserve">DOC 05 — Placar Institucional (v2)</w:t>
      </w:r>
    </w:p>
    <w:p>
      <w:pPr>
        <w:spacing w:before="80" w:after="80" w:line="26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Status B5: </w:t>
      </w:r>
      <w:r>
        <w:rPr>
          <w:rFonts w:ascii="Calibri" w:cs="Calibri" w:eastAsia="Calibri" w:hAnsi="Calibri"/>
          <w:b/>
          <w:bCs/>
          <w:i w:val="false"/>
          <w:iCs w:val="false"/>
          <w:color w:val="0E8C6B"/>
          <w:sz w:val="20"/>
          <w:szCs w:val="20"/>
        </w:rPr>
        <w:t xml:space="preserve">✅ Validado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 — 3 camadas coerentes com 11-H. DOC 05 define "o que medir e por quê"; 11-H operacionaliza "quanto, quem, quando". Guardrails, pilar e monetização com correspondência exata.</w:t>
      </w:r>
    </w:p>
    <w:p>
      <w:pPr>
        <w:pStyle w:val="Heading2"/>
        <w:spacing w:before="240"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163B5C"/>
          <w:sz w:val="22"/>
          <w:szCs w:val="22"/>
        </w:rPr>
        <w:t xml:space="preserve">DOC 08 — Carteira Estratégica (v2)</w:t>
      </w:r>
    </w:p>
    <w:p>
      <w:pPr>
        <w:spacing w:before="80" w:after="80" w:line="26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Status B5: </w:t>
      </w:r>
      <w:r>
        <w:rPr>
          <w:rFonts w:ascii="Calibri" w:cs="Calibri" w:eastAsia="Calibri" w:hAnsi="Calibri"/>
          <w:b/>
          <w:bCs/>
          <w:i w:val="false"/>
          <w:iCs w:val="false"/>
          <w:color w:val="0E8C6B"/>
          <w:sz w:val="20"/>
          <w:szCs w:val="20"/>
        </w:rPr>
        <w:t xml:space="preserve">✅ Validado com nota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 — referência financeira atualizada para DOC 09 v3 (R$8.002K, delta imaterial). Camada 3 (REs) complementa com ~80+ INITs operacionais. Centro IA segregado (11 centros). Mapa INIT→KR (22 INITs) verificado contra 11-H — todos 25 KRs têm ≥ 1 INIT.</w:t>
      </w:r>
    </w:p>
    <w:p>
      <w:r>
        <w:br w:type="page"/>
      </w:r>
    </w:p>
    <w:p>
      <w:pPr>
        <w:pStyle w:val="Heading1"/>
        <w:pBdr>
          <w:bottom w:val="single" w:color="2980B9" w:sz="6" w:space="4"/>
        </w:pBdr>
        <w:spacing w:before="360" w:after="160"/>
      </w:pPr>
      <w:r>
        <w:rPr>
          <w:rFonts w:ascii="Calibri Light" w:cs="Calibri Light" w:eastAsia="Calibri Light" w:hAnsi="Calibri Light"/>
          <w:b w:val="false"/>
          <w:bCs w:val="false"/>
          <w:i w:val="false"/>
          <w:iCs w:val="false"/>
          <w:color w:val="2980B9"/>
          <w:sz w:val="30"/>
          <w:szCs w:val="30"/>
        </w:rPr>
        <w:t xml:space="preserve">6  </w:t>
      </w:r>
      <w:r>
        <w:rPr>
          <w:rFonts w:ascii="Calibri Light" w:cs="Calibri Light" w:eastAsia="Calibri Light" w:hAnsi="Calibri Light"/>
          <w:b w:val="false"/>
          <w:bCs w:val="false"/>
          <w:i w:val="false"/>
          <w:iCs w:val="false"/>
          <w:color w:val="0C2340"/>
          <w:sz w:val="30"/>
          <w:szCs w:val="30"/>
        </w:rPr>
        <w:t xml:space="preserve">Registro de documentos do PE2026</w:t>
      </w:r>
    </w:p>
    <w:p>
      <w:pPr>
        <w:pStyle w:val="Heading2"/>
        <w:spacing w:before="240"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163B5C"/>
          <w:sz w:val="22"/>
          <w:szCs w:val="22"/>
        </w:rPr>
        <w:t xml:space="preserve">Camada 1 — Estratégia / 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600"/>
        <w:gridCol w:w="1000"/>
        <w:gridCol w:w="43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DOC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Título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Versão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Bloco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00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Setup do Planejamento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v2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—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01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Diagnóstico 2025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v2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B1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02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Estratégia Master 2026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v2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B1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03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Arquitetura de Execução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v2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B1/B5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04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Pilares Institucionais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v2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B5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05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Placar Institucional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v2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B5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06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OKRs Corporativos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v2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B2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07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Metas e Cenários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v2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B2/B4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08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Carteira Estratégica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v2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B5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4155"/>
                <w:sz w:val="18"/>
                <w:szCs w:val="18"/>
              </w:rPr>
              <w:t xml:space="preserve">09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4155"/>
                <w:sz w:val="18"/>
                <w:szCs w:val="18"/>
              </w:rPr>
              <w:t xml:space="preserve">Capacidade e Orçamento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980B9"/>
                <w:sz w:val="18"/>
                <w:szCs w:val="18"/>
              </w:rPr>
              <w:t xml:space="preserve">v3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B4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10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Plano de Riscos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v2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B1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11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Guia de Desdobramento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v2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—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11 Adendo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Camada 3 (REs)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v2.1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B3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✅</w:t>
            </w:r>
          </w:p>
        </w:tc>
      </w:tr>
    </w:tbl>
    <w:p>
      <w:pPr>
        <w:pStyle w:val="Heading2"/>
        <w:spacing w:before="240"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163B5C"/>
          <w:sz w:val="22"/>
          <w:szCs w:val="22"/>
        </w:rPr>
        <w:t xml:space="preserve">Camada 2 — Cadernos Setoriais / MBR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1600"/>
        <w:gridCol w:w="1600"/>
        <w:gridCol w:w="23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Área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Gerencial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Direção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Execução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11-A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RH / Pessoas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✅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✅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11-B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Marketing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✅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✅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11-C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P&amp;D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✅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✅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11-D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Operação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✅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✅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11-E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CS / Relacionamento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✅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✅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11-F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Comercial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✅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✅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11-G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Financeiro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✅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✅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11-H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Placar Integrado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✅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—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2"/>
        <w:spacing w:before="240"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163B5C"/>
          <w:sz w:val="22"/>
          <w:szCs w:val="22"/>
        </w:rPr>
        <w:t xml:space="preserve">Camada 3 — Roteiros de Execução / WBR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1500"/>
        <w:gridCol w:w="28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Área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INITs</w:t>
            </w:r>
          </w:p>
        </w:tc>
        <w:tc>
          <w:tcPr>
            <w:tcW w:type="dxa" w:w="2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RE-RH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RH / Pessoas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16</w:t>
            </w:r>
          </w:p>
        </w:tc>
        <w:tc>
          <w:tcPr>
            <w:tcW w:type="dxa" w:w="28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RE-MKT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Marketing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~14</w:t>
            </w:r>
          </w:p>
        </w:tc>
        <w:tc>
          <w:tcPr>
            <w:tcW w:type="dxa" w:w="28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RE-P&amp;D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P&amp;D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~12</w:t>
            </w:r>
          </w:p>
        </w:tc>
        <w:tc>
          <w:tcPr>
            <w:tcW w:type="dxa" w:w="28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RE-CS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CS / Relacionamento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~16</w:t>
            </w:r>
          </w:p>
        </w:tc>
        <w:tc>
          <w:tcPr>
            <w:tcW w:type="dxa" w:w="28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RE-COM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Comercial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~16</w:t>
            </w:r>
          </w:p>
        </w:tc>
        <w:tc>
          <w:tcPr>
            <w:tcW w:type="dxa" w:w="28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RE-OP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Operação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~16</w:t>
            </w:r>
          </w:p>
        </w:tc>
        <w:tc>
          <w:tcPr>
            <w:tcW w:type="dxa" w:w="28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✅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980B9" w:sz="6" w:space="4"/>
        </w:pBdr>
        <w:spacing w:before="360" w:after="160"/>
      </w:pPr>
      <w:r>
        <w:rPr>
          <w:rFonts w:ascii="Calibri Light" w:cs="Calibri Light" w:eastAsia="Calibri Light" w:hAnsi="Calibri Light"/>
          <w:b w:val="false"/>
          <w:bCs w:val="false"/>
          <w:i w:val="false"/>
          <w:iCs w:val="false"/>
          <w:color w:val="2980B9"/>
          <w:sz w:val="30"/>
          <w:szCs w:val="30"/>
        </w:rPr>
        <w:t xml:space="preserve">7  </w:t>
      </w:r>
      <w:r>
        <w:rPr>
          <w:rFonts w:ascii="Calibri Light" w:cs="Calibri Light" w:eastAsia="Calibri Light" w:hAnsi="Calibri Light"/>
          <w:b w:val="false"/>
          <w:bCs w:val="false"/>
          <w:i w:val="false"/>
          <w:iCs w:val="false"/>
          <w:color w:val="0C2340"/>
          <w:sz w:val="30"/>
          <w:szCs w:val="30"/>
        </w:rPr>
        <w:t xml:space="preserve">Recomendações pós-PE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000"/>
        <w:gridCol w:w="1200"/>
        <w:gridCol w:w="27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Recomendação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Prazo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Dono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Primeira leitura 11-H no MBR de abril — calibrar baselines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Abr/2026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Direção + Financeiro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Popular MAP-TRC com evidências reais (EVID-*) a partir do Q2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Abr/2026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Consultora Estratégica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QBR Q2: cenário Aero, contratações, Early Warning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Jun/2026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Direção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Atualizar DOC 09 v3 no QBR Q3 com realizado vs envelope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Set/2026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Financeiro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Preparação PE2027 inicia no QBR Q4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Out/2026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Direção + Consultora</w:t>
            </w:r>
          </w:p>
        </w:tc>
      </w:tr>
    </w:tbl>
    <w:p>
      <w:pPr>
        <w:spacing w:before="400"/>
      </w:pPr>
    </w:p>
    <w:p>
      <w:pPr>
        <w:pBdr>
          <w:top w:val="single" w:color="94A3B8" w:sz="4" w:space="4"/>
        </w:pBdr>
      </w:pPr>
      <w:r>
        <w:rPr>
          <w:rFonts w:ascii="Calibri" w:cs="Calibri" w:eastAsia="Calibri" w:hAnsi="Calibri"/>
          <w:b w:val="false"/>
          <w:bCs w:val="false"/>
          <w:i/>
          <w:iCs/>
          <w:color w:val="94A3B8"/>
          <w:sz w:val="16"/>
          <w:szCs w:val="16"/>
        </w:rPr>
        <w:t xml:space="preserve">MAP-TRC-2026 v1.0 — Mapa de Rastreabilidade Integrado — Março/2026 — Bloco B5</w:t>
      </w:r>
    </w:p>
    <w:p>
      <w:pPr>
        <w:spacing w:before="80" w:after="80" w:line="260"/>
        <w:jc w:val="both"/>
      </w:pPr>
      <w:r>
        <w:rPr>
          <w:rFonts w:ascii="Calibri" w:cs="Calibri" w:eastAsia="Calibri" w:hAnsi="Calibri"/>
          <w:b w:val="false"/>
          <w:bCs w:val="false"/>
          <w:i/>
          <w:iCs/>
          <w:color w:val="94A3B8"/>
          <w:sz w:val="16"/>
          <w:szCs w:val="16"/>
        </w:rPr>
        <w:t xml:space="preserve">Aero Engenharia + Techdengue · Confidencial — Uso Interno da Direção</w:t>
      </w:r>
    </w:p>
    <w:sectPr>
      <w:headerReference w:type="default" r:id="rId6"/>
      <w:footerReference w:type="default" r:id="rId7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4A3B8" w:sz="4" w:space="4"/>
      </w:pBdr>
    </w:pPr>
    <w:r>
      <w:rPr>
        <w:rFonts w:ascii="Calibri" w:cs="Calibri" w:eastAsia="Calibri" w:hAnsi="Calibri"/>
        <w:b w:val="false"/>
        <w:bCs w:val="false"/>
        <w:i w:val="false"/>
        <w:iCs w:val="false"/>
        <w:color w:val="94A3B8"/>
        <w:sz w:val="14"/>
        <w:szCs w:val="14"/>
      </w:rPr>
      <w:t xml:space="preserve">Confidencial — Uso interno da Direção</w:t>
    </w:r>
    <w:r>
      <w:rPr>
        <w:rFonts w:ascii="Calibri" w:cs="Calibri" w:eastAsia="Calibri" w:hAnsi="Calibri"/>
        <w:color w:val="94A3B8"/>
        <w:sz w:val="14"/>
        <w:szCs w:val="14"/>
      </w:rPr>
      <w:ptab w:alignment="right" w:relativeTo="margin" w:leader="none"/>
    </w:r>
    <w:r>
      <w:rPr>
        <w:rFonts w:ascii="Calibri" w:cs="Calibri" w:eastAsia="Calibri" w:hAnsi="Calibri"/>
        <w:color w:val="94A3B8"/>
        <w:sz w:val="14"/>
        <w:szCs w:val="14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|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4A3B8" w:sz="4" w:space="4"/>
      </w:pBdr>
    </w:pPr>
    <w:r>
      <w:rPr>
        <w:rFonts w:ascii="Calibri" w:cs="Calibri" w:eastAsia="Calibri" w:hAnsi="Calibri"/>
        <w:b w:val="false"/>
        <w:bCs w:val="false"/>
        <w:i w:val="false"/>
        <w:iCs w:val="false"/>
        <w:color w:val="94A3B8"/>
        <w:sz w:val="16"/>
        <w:szCs w:val="16"/>
      </w:rPr>
      <w:t xml:space="preserve">PE 2026</w:t>
    </w:r>
    <w:r>
      <w:rPr>
        <w:rFonts w:ascii="Calibri" w:cs="Calibri" w:eastAsia="Calibri" w:hAnsi="Calibri"/>
        <w:color w:val="94A3B8"/>
        <w:sz w:val="16"/>
        <w:szCs w:val="16"/>
      </w:rPr>
      <w:ptab w:alignment="right" w:relativeTo="margin" w:leader="none"/>
    </w:r>
    <w:r>
      <w:rPr>
        <w:rFonts w:ascii="Calibri" w:cs="Calibri" w:eastAsia="Calibri" w:hAnsi="Calibri"/>
        <w:b w:val="false"/>
        <w:bCs w:val="false"/>
        <w:i w:val="false"/>
        <w:iCs w:val="false"/>
        <w:color w:val="94A3B8"/>
        <w:sz w:val="16"/>
        <w:szCs w:val="16"/>
      </w:rPr>
      <w:t xml:space="preserve">MAP-TRC-2026 — Rastreabilidade Integrada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4155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Calibri Light" w:cs="Calibri Light" w:eastAsia="Calibri Light" w:hAnsi="Calibri Light"/>
      <w:color w:val="0C2340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Calibri" w:cs="Calibri" w:eastAsia="Calibri" w:hAnsi="Calibri"/>
      <w:b/>
      <w:bCs/>
      <w:color w:val="163B5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2026-03-16T18:23:01.164Z</dcterms:created>
  <dcterms:modified xsi:type="dcterms:W3CDTF">2026-03-16T18:23:01.165Z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