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t xml:space="preserve">Budget</w:t>
      </w:r>
      <w:r>
        <w:rPr>
          <w:b/>
          <w:bCs/>
          <w:sz w:val="24"/>
          <w:szCs w:val="24"/>
        </w:rPr>
      </w:r>
    </w:p>
    <w:p>
      <w:pPr>
        <w:pBdr/>
        <w:shd w:val="nil"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Das Budget ist das Geld, das euch Beratern für die Umsetzung von Maßnahmen zur Verfügung steht. Mit dem Budget müsst ihr Maßnahmen initiieren und betreiben.</w:t>
      </w:r>
      <w:r>
        <w:rPr>
          <w:sz w:val="20"/>
          <w:szCs w:val="20"/>
          <w:highlight w:val="none"/>
        </w:rPr>
      </w:r>
    </w:p>
    <w:tbl>
      <w:tblPr>
        <w:tblStyle w:val="14"/>
        <w:tblW w:w="0" w:type="auto"/>
        <w:tblBorders/>
        <w:tblLayout w:type="fixed"/>
        <w:tblLook w:val="0420" w:firstRow="1" w:lastRow="0" w:firstColumn="0" w:lastColumn="0" w:noHBand="0" w:noVBand="1"/>
      </w:tblPr>
      <w:tblGrid>
        <w:gridCol w:w="1417"/>
        <w:gridCol w:w="5429"/>
        <w:gridCol w:w="2509"/>
      </w:tblGrid>
      <w:tr>
        <w:trPr>
          <w:trHeight w:val="171"/>
        </w:trPr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Kostenart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54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Was ist das?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25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Wann fällig?</w:t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rPr>
          <w:trHeight w:val="236"/>
        </w:trPr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Init-Kosten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54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  <w:t xml:space="preserve">Einmalige Anschaffungskosten für eine Maßnahme (Hardware, Software, Einrichtung)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25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  <w:t xml:space="preserve">Einmal zu Spielbeginn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rPr>
          <w:trHeight w:val="260"/>
        </w:trPr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OPEX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542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  <w:t xml:space="preserve">Laufende Betriebskosten (Lizenzen, Personal, Wartung)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2509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Jede Welle erneut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hd w:val="nil" w:color="000000"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Bdr/>
        <w:shd w:val="nil" w:color="000000"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  <w:t>Im Planspiel wählt ihr zu Beginn ein Budget-Tier. Je höher euer Budget, desto mehr bzw. stärkere Maßnahmen könnt ihr umsetzen. Gleichzeitig sind die Erwartungen höher, was sich in einem entsprechend angepassten Startwert der Kundenzufriedenheit (KZ) widers</w:t>
      </w:r>
      <w:r>
        <w:rPr>
          <w:sz w:val="20"/>
          <w:szCs w:val="20"/>
          <w:highlight w:val="none"/>
        </w:rPr>
        <w:t xml:space="preserve">piegelt. Legt daher zuerst euer Budget-Tier fest, bevor ihr eure Maßnahmen auswählt.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tbl>
      <w:tblPr>
        <w:tblStyle w:val="14"/>
        <w:tblW w:w="0" w:type="auto"/>
        <w:tblBorders/>
        <w:tblLayout w:type="fixed"/>
        <w:tblLook w:val="0420" w:firstRow="1" w:lastRow="0" w:firstColumn="0" w:lastColumn="0" w:noHBand="0" w:noVBand="1"/>
      </w:tblPr>
      <w:tblGrid>
        <w:gridCol w:w="1417"/>
        <w:gridCol w:w="2551"/>
        <w:gridCol w:w="2551"/>
      </w:tblGrid>
      <w:tr>
        <w:trPr>
          <w:trHeight w:val="171"/>
        </w:trPr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/>
              </w:rPr>
              <w:t xml:space="preserve">Tier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/>
              </w:rPr>
              <w:t xml:space="preserve">Verf</w:t>
            </w:r>
            <w:r>
              <w:rPr>
                <w:sz w:val="20"/>
                <w:szCs w:val="20"/>
                <w:highlight w:val="none"/>
                <w:lang w:val="de-DE"/>
              </w:rPr>
              <w:t xml:space="preserve">ü</w:t>
            </w:r>
            <w:r>
              <w:rPr>
                <w:sz w:val="20"/>
                <w:szCs w:val="20"/>
                <w:highlight w:val="none"/>
              </w:rPr>
              <w:t xml:space="preserve">gbares Budget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  <w:t xml:space="preserve">Kundenzufriedenheit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</w:tr>
      <w:tr>
        <w:trPr>
          <w:trHeight w:val="236"/>
        </w:trPr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/>
              </w:rPr>
              <w:t xml:space="preserve">Low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/>
              </w:rPr>
              <w:t xml:space="preserve">3</w:t>
            </w:r>
            <w:r>
              <w:rPr>
                <w:sz w:val="20"/>
                <w:szCs w:val="20"/>
                <w:highlight w:val="none"/>
                <w:lang w:val="de-DE"/>
              </w:rPr>
              <w:t xml:space="preserve">5</w:t>
            </w:r>
            <w:r>
              <w:rPr>
                <w:sz w:val="20"/>
                <w:szCs w:val="20"/>
                <w:highlight w:val="none"/>
              </w:rPr>
              <w:t xml:space="preserve">0.000 Euro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  <w:t>50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</w:tr>
      <w:tr>
        <w:trPr>
          <w:trHeight w:val="260"/>
        </w:trPr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/>
              </w:rPr>
              <w:t xml:space="preserve">Medium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/>
              </w:rPr>
              <w:t xml:space="preserve">400.000 Euro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  <w:t>42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</w:tr>
      <w:tr>
        <w:trPr>
          <w:trHeight w:val="260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/>
              </w:rPr>
              <w:t xml:space="preserve">High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255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  <w:t xml:space="preserve">45</w:t>
            </w:r>
            <w:r>
              <w:rPr>
                <w:sz w:val="20"/>
                <w:szCs w:val="20"/>
                <w:highlight w:val="none"/>
                <w:lang w:val="undefined"/>
              </w:rPr>
              <w:t xml:space="preserve">0.000 Euro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:lang w:val="de-DE"/>
              </w:rPr>
            </w:pPr>
            <w:r>
              <w:rPr>
                <w:sz w:val="20"/>
                <w:szCs w:val="20"/>
                <w:highlight w:val="none"/>
                <w:lang w:val="de-DE" w:bidi="de-DE"/>
              </w:rPr>
              <w:t>34</w:t>
            </w:r>
            <w:r>
              <w:rPr>
                <w:sz w:val="20"/>
                <w:szCs w:val="20"/>
                <w:highlight w:val="none"/>
                <w:lang w:val="de-DE"/>
              </w:rPr>
            </w:r>
          </w:p>
        </w:tc>
      </w:tr>
    </w:tbl>
    <w:p>
      <w:pPr>
        <w:pBdr/>
        <w:shd w:val="nil" w:color="000000"/>
        <w:spacing/>
        <w:ind w:firstLine="0" w:left="0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>
      <w:pPr>
        <w:pBdr/>
        <w:shd w:val="nil" w:color="000000"/>
        <w:spacing/>
        <w:ind w:firstLine="0" w:left="0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Antizipierte Summe</w:t>
      </w:r>
      <w:r>
        <w:rPr>
          <w:b/>
          <w:bCs/>
          <w:sz w:val="20"/>
          <w:szCs w:val="20"/>
          <w:highlight w:val="none"/>
        </w:rPr>
      </w:r>
    </w:p>
    <w:p>
      <w:pPr>
        <w:pBdr/>
        <w:shd w:val="nil" w:color="000000"/>
        <w:spacing/>
        <w:ind w:firstLine="0" w:left="0"/>
        <w:rPr>
          <w:b/>
          <w:bCs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  <w:t xml:space="preserve">In diesem Sheet plant und trackt ihr euer Budget über alle Wellen.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  <w:t xml:space="preserve"> INIT-Kosten fallen nur einmalig an, wenn ihr eine Maßnahme einführt oder auf ein höheres Level upgraded. OPEX-Kosten fallen dagegen in jeder Welle an, in der die Maßnahme aktiv ist.</w:t>
      </w:r>
      <w:r>
        <w:rPr>
          <w:b w:val="0"/>
          <w:bCs w:val="0"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tbl>
      <w:tblPr>
        <w:tblStyle w:val="14"/>
        <w:tblW w:w="0" w:type="auto"/>
        <w:tblBorders/>
        <w:tblLayout w:type="fixed"/>
        <w:tblLook w:val="0420" w:firstRow="1" w:lastRow="0" w:firstColumn="0" w:lastColumn="0" w:noHBand="0" w:noVBand="1"/>
      </w:tblPr>
      <w:tblGrid>
        <w:gridCol w:w="1134"/>
        <w:gridCol w:w="1559"/>
        <w:gridCol w:w="1134"/>
        <w:gridCol w:w="2268"/>
        <w:gridCol w:w="2835"/>
      </w:tblGrid>
      <w:tr>
        <w:trPr>
          <w:trHeight w:val="171"/>
        </w:trPr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Zeitraum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  <w:t xml:space="preserve">Maßnahmen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  <w14:ligatures w14:val="none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</w:rPr>
              <w:t xml:space="preserve">Level</w:t>
            </w:r>
            <w:r>
              <w:rPr>
                <w:sz w:val="20"/>
                <w:szCs w:val="20"/>
                <w:highlight w:val="none"/>
                <w14:ligatures w14:val="none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  <w:t xml:space="preserve">Init-Kosten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:lang w:val="de-DE"/>
              </w:rPr>
            </w:pPr>
            <w:r>
              <w:rPr>
                <w:sz w:val="20"/>
                <w:szCs w:val="20"/>
                <w:highlight w:val="none"/>
                <w:lang w:val="de-DE" w:bidi="de-DE"/>
              </w:rPr>
              <w:t xml:space="preserve">OPEX</w:t>
            </w:r>
            <w:r>
              <w:rPr>
                <w:sz w:val="20"/>
                <w:szCs w:val="20"/>
                <w:highlight w:val="none"/>
                <w:lang w:val="de-DE"/>
              </w:rPr>
            </w:r>
          </w:p>
        </w:tc>
      </w:tr>
      <w:tr>
        <w:trPr>
          <w:trHeight w:val="1914"/>
        </w:trPr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Angriff 1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/>
            <w:r/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/>
            <w:r/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:lang w:val="de-D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</w:r>
            <w:r>
              <w:rPr>
                <w:sz w:val="20"/>
                <w:szCs w:val="20"/>
                <w:highlight w:val="none"/>
                <w:lang w:val="de-DE"/>
              </w:rPr>
            </w:r>
            <w:r>
              <w:rPr>
                <w:sz w:val="20"/>
                <w:szCs w:val="20"/>
                <w:highlight w:val="none"/>
                <w:lang w:val="de-D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:lang w:val="de-D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</w:r>
            <w:r>
              <w:rPr>
                <w:sz w:val="20"/>
                <w:szCs w:val="20"/>
                <w:highlight w:val="none"/>
                <w:lang w:val="de-DE"/>
              </w:rPr>
            </w:r>
            <w:r>
              <w:rPr>
                <w:sz w:val="20"/>
                <w:szCs w:val="20"/>
                <w:highlight w:val="none"/>
                <w:lang w:val="de-D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:lang w:val="de-D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</w:r>
            <w:r>
              <w:rPr>
                <w:sz w:val="20"/>
                <w:szCs w:val="20"/>
                <w:highlight w:val="none"/>
                <w:lang w:val="de-DE"/>
              </w:rPr>
            </w:r>
            <w:r>
              <w:rPr>
                <w:sz w:val="20"/>
                <w:szCs w:val="20"/>
                <w:highlight w:val="none"/>
                <w:lang w:val="de-D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:lang w:val="de-D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</w:r>
            <w:r>
              <w:rPr>
                <w:sz w:val="20"/>
                <w:szCs w:val="20"/>
                <w:highlight w:val="none"/>
                <w:lang w:val="de-DE"/>
              </w:rPr>
            </w:r>
            <w:r>
              <w:rPr>
                <w:sz w:val="20"/>
                <w:szCs w:val="20"/>
                <w:highlight w:val="none"/>
                <w:lang w:val="de-D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:lang w:val="de-D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</w:r>
            <w:r>
              <w:rPr>
                <w:sz w:val="20"/>
                <w:szCs w:val="20"/>
                <w:highlight w:val="none"/>
                <w:lang w:val="de-DE"/>
              </w:rPr>
            </w:r>
            <w:r>
              <w:rPr>
                <w:sz w:val="20"/>
                <w:szCs w:val="20"/>
                <w:highlight w:val="none"/>
                <w:lang w:val="de-D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:lang w:val="de-D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</w:r>
            <w:r>
              <w:rPr>
                <w:sz w:val="20"/>
                <w:szCs w:val="20"/>
                <w:highlight w:val="none"/>
                <w:lang w:val="de-DE"/>
              </w:rPr>
            </w:r>
            <w:r>
              <w:rPr>
                <w:sz w:val="20"/>
                <w:szCs w:val="20"/>
                <w:highlight w:val="none"/>
                <w:lang w:val="de-D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:lang w:val="de-D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</w:r>
            <w:r>
              <w:rPr>
                <w:sz w:val="20"/>
                <w:szCs w:val="20"/>
                <w:highlight w:val="none"/>
                <w:lang w:val="de-DE"/>
              </w:rPr>
            </w:r>
            <w:r>
              <w:rPr>
                <w:sz w:val="20"/>
                <w:szCs w:val="20"/>
                <w:highlight w:val="none"/>
                <w:lang w:val="de-DE"/>
              </w:rPr>
            </w:r>
          </w:p>
          <w:p>
            <w:pPr>
              <w:pBdr/>
              <w:spacing/>
              <w:ind/>
              <w:jc w:val="left"/>
              <w:rPr>
                <w:sz w:val="20"/>
                <w:szCs w:val="20"/>
                <w:highlight w:val="none"/>
                <w:lang w:val="de-DE"/>
              </w:rPr>
            </w:pPr>
            <w:r>
              <w:rPr>
                <w:sz w:val="20"/>
                <w:szCs w:val="20"/>
                <w:highlight w:val="none"/>
                <w:lang w:val="de-DE" w:bidi="de-DE"/>
              </w:rPr>
            </w:r>
            <w:r>
              <w:rPr>
                <w:sz w:val="20"/>
                <w:szCs w:val="20"/>
                <w:highlight w:val="none"/>
                <w:lang w:val="de-DE"/>
              </w:rPr>
            </w:r>
          </w:p>
        </w:tc>
      </w:tr>
      <w:tr>
        <w:trPr>
          <w:trHeight w:val="699"/>
        </w:trPr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Events 1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t xml:space="preserve">Event</w:t>
            </w:r>
            <w:r>
              <w:rPr>
                <w:sz w:val="20"/>
                <w:szCs w:val="20"/>
                <w:highlight w:val="none"/>
              </w:rPr>
              <w:t xml:space="preserve">__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Event</w:t>
            </w:r>
            <w:r>
              <w:rPr>
                <w:sz w:val="20"/>
                <w:szCs w:val="20"/>
                <w:highlight w:val="none"/>
              </w:rPr>
              <w:t xml:space="preserve">__</w:t>
            </w:r>
            <w:r/>
            <w:r/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/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:lang w:val="de-DE"/>
              </w:rPr>
            </w:pPr>
            <w:r>
              <w:rPr>
                <w:sz w:val="20"/>
                <w:szCs w:val="20"/>
                <w:highlight w:val="none"/>
                <w:lang w:val="de-DE" w:bidi="de-DE"/>
              </w:rPr>
            </w:r>
            <w:r>
              <w:rPr>
                <w:sz w:val="20"/>
                <w:szCs w:val="20"/>
                <w:highlight w:val="none"/>
                <w:lang w:val="de-DE"/>
              </w:rPr>
            </w:r>
          </w:p>
        </w:tc>
      </w:tr>
      <w:tr>
        <w:trPr>
          <w:trHeight w:val="743"/>
        </w:trPr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Angriff 2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/>
            <w:r/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/>
            <w:r/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:lang w:val="de-DE"/>
              </w:rPr>
            </w:pPr>
            <w:r>
              <w:rPr>
                <w:sz w:val="20"/>
                <w:szCs w:val="20"/>
                <w:highlight w:val="none"/>
                <w:lang w:val="de-DE" w:bidi="de-DE"/>
              </w:rPr>
            </w:r>
            <w:r>
              <w:rPr>
                <w:sz w:val="20"/>
                <w:szCs w:val="20"/>
                <w:highlight w:val="none"/>
                <w:lang w:val="de-DE" w:bidi="de-DE"/>
              </w:rPr>
            </w:r>
            <w:r>
              <w:rPr>
                <w:sz w:val="20"/>
                <w:szCs w:val="20"/>
                <w:highlight w:val="none"/>
                <w:lang w:val="de-DE" w:bidi="de-D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:lang w:val="de-DE" w:bidi="de-DE"/>
              </w:rPr>
            </w:pPr>
            <w:r>
              <w:rPr>
                <w:sz w:val="20"/>
                <w:szCs w:val="20"/>
                <w:highlight w:val="none"/>
                <w:lang w:val="de-DE" w:bidi="de-DE"/>
              </w:rPr>
            </w:r>
            <w:r>
              <w:rPr>
                <w:sz w:val="20"/>
                <w:szCs w:val="20"/>
                <w:highlight w:val="none"/>
                <w:lang w:val="de-DE" w:bidi="de-DE"/>
              </w:rPr>
            </w:r>
            <w:r>
              <w:rPr>
                <w:sz w:val="20"/>
                <w:szCs w:val="20"/>
                <w:highlight w:val="none"/>
                <w:lang w:val="de-DE" w:bidi="de-DE"/>
              </w:rPr>
            </w:r>
          </w:p>
          <w:p>
            <w:pPr>
              <w:pBdr/>
              <w:spacing/>
              <w:ind/>
              <w:jc w:val="left"/>
              <w:rPr>
                <w:sz w:val="20"/>
                <w:szCs w:val="20"/>
                <w:highlight w:val="none"/>
                <w:lang w:val="de-DE" w:bidi="de-DE"/>
              </w:rPr>
            </w:pPr>
            <w:r>
              <w:rPr>
                <w:sz w:val="20"/>
                <w:szCs w:val="20"/>
                <w:highlight w:val="none"/>
                <w:lang w:val="de-DE" w:bidi="de-DE"/>
              </w:rPr>
            </w:r>
            <w:r>
              <w:rPr>
                <w:sz w:val="20"/>
                <w:szCs w:val="20"/>
                <w:highlight w:val="none"/>
                <w:lang w:val="de-DE" w:bidi="de-DE"/>
              </w:rPr>
            </w:r>
          </w:p>
        </w:tc>
      </w:tr>
      <w:tr>
        <w:trPr>
          <w:trHeight w:val="594"/>
        </w:trPr>
        <w:tc>
          <w:tcPr>
            <w:tcBorders/>
            <w:tcW w:w="113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Events 2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Event</w:t>
            </w:r>
            <w:r>
              <w:rPr>
                <w:sz w:val="20"/>
                <w:szCs w:val="20"/>
                <w:highlight w:val="none"/>
              </w:rPr>
              <w:t xml:space="preserve">__</w:t>
            </w:r>
            <w:r/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Event</w:t>
            </w:r>
            <w:r>
              <w:rPr>
                <w:sz w:val="20"/>
                <w:szCs w:val="20"/>
                <w:highlight w:val="none"/>
              </w:rPr>
              <w:t xml:space="preserve">__</w:t>
            </w:r>
            <w:r/>
            <w:r/>
            <w:r/>
            <w:r/>
            <w:r/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:lang w:val="de-DE" w:bidi="de-DE"/>
              </w:rPr>
            </w:pPr>
            <w:r>
              <w:rPr>
                <w:sz w:val="20"/>
                <w:szCs w:val="20"/>
                <w:highlight w:val="none"/>
                <w:lang w:val="de-DE" w:bidi="de-DE"/>
              </w:rPr>
            </w:r>
            <w:r>
              <w:rPr>
                <w:sz w:val="20"/>
                <w:szCs w:val="20"/>
                <w:highlight w:val="none"/>
                <w:lang w:val="de-DE" w:bidi="de-DE"/>
              </w:rPr>
            </w:r>
          </w:p>
        </w:tc>
      </w:tr>
      <w:tr>
        <w:trPr>
          <w:trHeight w:val="739"/>
        </w:trPr>
        <w:tc>
          <w:tcPr>
            <w:tcBorders/>
            <w:tcW w:w="113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Angriff 3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/>
            <w:r/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  <w:r/>
            <w:r/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:lang w:val="de-DE" w:bidi="de-DE"/>
              </w:rPr>
            </w:pPr>
            <w:r>
              <w:rPr>
                <w:sz w:val="20"/>
                <w:szCs w:val="20"/>
                <w:highlight w:val="none"/>
                <w:lang w:val="de-DE" w:bidi="de-DE"/>
              </w:rPr>
            </w:r>
            <w:r>
              <w:rPr>
                <w:sz w:val="20"/>
                <w:szCs w:val="20"/>
                <w:highlight w:val="none"/>
                <w:lang w:val="de-DE" w:bidi="de-DE"/>
              </w:rPr>
            </w:r>
          </w:p>
        </w:tc>
      </w:tr>
      <w:tr>
        <w:trPr>
          <w:trHeight w:val="636"/>
        </w:trPr>
        <w:tc>
          <w:tcPr>
            <w:tcBorders/>
            <w:tcW w:w="113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Events 3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Event</w:t>
            </w:r>
            <w:r>
              <w:rPr>
                <w:sz w:val="20"/>
                <w:szCs w:val="20"/>
                <w:highlight w:val="none"/>
              </w:rPr>
              <w:t xml:space="preserve">__</w:t>
            </w:r>
            <w:r/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Event</w:t>
            </w:r>
            <w:r>
              <w:rPr>
                <w:sz w:val="20"/>
                <w:szCs w:val="20"/>
                <w:highlight w:val="none"/>
              </w:rPr>
              <w:t xml:space="preserve">__</w:t>
            </w:r>
            <w:r/>
            <w:r/>
            <w:r/>
            <w:r/>
            <w:r/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:lang w:val="de-DE" w:bidi="de-DE"/>
              </w:rPr>
            </w:pPr>
            <w:r>
              <w:rPr>
                <w:sz w:val="20"/>
                <w:szCs w:val="20"/>
                <w:highlight w:val="none"/>
                <w:lang w:val="de-DE" w:bidi="de-DE"/>
              </w:rPr>
            </w:r>
            <w:r>
              <w:rPr>
                <w:sz w:val="20"/>
                <w:szCs w:val="20"/>
                <w:highlight w:val="none"/>
                <w:lang w:val="de-DE" w:bidi="de-DE"/>
              </w:rPr>
            </w:r>
          </w:p>
        </w:tc>
      </w:tr>
      <w:tr>
        <w:trPr>
          <w:trHeight w:val="260"/>
        </w:trPr>
        <w:tc>
          <w:tcPr>
            <w:tcBorders/>
            <w:tcW w:w="113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:lang w:val="de-DE" w:bidi="de-DE"/>
              </w:rPr>
            </w:pPr>
            <w:r>
              <w:rPr>
                <w:sz w:val="20"/>
                <w:szCs w:val="20"/>
                <w:highlight w:val="none"/>
                <w:lang w:val="de-DE" w:bidi="de-DE"/>
              </w:rPr>
            </w:r>
            <w:r>
              <w:rPr>
                <w:sz w:val="20"/>
                <w:szCs w:val="20"/>
                <w:highlight w:val="none"/>
                <w:lang w:val="de-DE" w:bidi="de-DE"/>
              </w:rPr>
            </w:r>
          </w:p>
        </w:tc>
      </w:tr>
      <w:tr>
        <w:trPr>
          <w:trHeight w:val="260"/>
        </w:trPr>
        <w:tc>
          <w:tcPr>
            <w:tcBorders/>
            <w:tcW w:w="113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Summe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-</w:t>
            </w:r>
            <w:r/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283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:lang w:val="de-DE" w:bidi="de-DE"/>
              </w:rPr>
            </w:pPr>
            <w:r>
              <w:rPr>
                <w:sz w:val="20"/>
                <w:szCs w:val="20"/>
                <w:highlight w:val="none"/>
                <w:lang w:val="de-DE" w:bidi="de-DE"/>
              </w:rPr>
            </w:r>
            <w:r>
              <w:rPr>
                <w:sz w:val="20"/>
                <w:szCs w:val="20"/>
                <w:highlight w:val="none"/>
                <w:lang w:val="de-DE" w:bidi="de-DE"/>
              </w:rPr>
            </w:r>
          </w:p>
        </w:tc>
      </w:tr>
    </w:tbl>
    <w:p>
      <w:pPr>
        <w:pBdr/>
        <w:shd w:val="nil" w:color="000000"/>
        <w:spacing/>
        <w:ind w:firstLine="0" w:left="0"/>
        <w:rPr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Bdr/>
        <w:shd w:val="nil" w:color="000000"/>
        <w:spacing/>
        <w:ind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Antizipierte Summe: ___________</w:t>
      </w:r>
      <w:r>
        <w:rPr>
          <w:highlight w:val="none"/>
        </w:rPr>
      </w:r>
      <w:r>
        <w:rPr>
          <w:highlight w:val="none"/>
        </w:rPr>
      </w:r>
    </w:p>
    <w:p>
      <w:r>
        <w:rPr>
          <w:b w:val="0"/>
          <w:sz w:val="20"/>
        </w:rPr>
      </w:r>
    </w:p>
    <w:p>
      <w:r>
        <w:rPr>
          <w:b/>
          <w:sz w:val="20"/>
        </w:rPr>
        <w:t>Status-Tracker</w:t>
      </w:r>
    </w:p>
    <w:p>
      <w:r>
        <w:rPr>
          <w:b w:val="0"/>
          <w:sz w:val="20"/>
        </w:rPr>
        <w:t>Trackt hier nach jeder Welle euren aktuellen Stand: verbleibendes Budget, die aktuellen CIA-Werte (Summe aus Basisschutz + Maßnahmen, siehe jeweilige Angriffskarte) und die kumulierte Kundenzufriedenheit. So habt ihr den Überblick, ohne in den Angriffskarten zurückblättern zu müssen.</w:t>
      </w:r>
    </w:p>
    <w:p>
      <w:r>
        <w:rPr>
          <w:b w:val="0"/>
          <w:sz w:val="20"/>
        </w:rPr>
      </w:r>
    </w:p>
    <w:tbl>
      <w:tblPr>
        <w:tblStyle w:val="14"/>
        <w:tblW w:type="auto" w:w="0"/>
        <w:tblLook w:firstColumn="1" w:firstRow="1" w:lastColumn="0" w:lastRow="0" w:noHBand="0" w:noVBand="1" w:val="04A0"/>
        <w:tblLayout w:type="fixed"/>
      </w:tblPr>
      <w:tblGrid>
        <w:gridCol w:w="1200"/>
        <w:gridCol w:w="1500"/>
        <w:gridCol w:w="700"/>
        <w:gridCol w:w="700"/>
        <w:gridCol w:w="700"/>
        <w:gridCol w:w="1500"/>
        <w:gridCol w:w="1500"/>
      </w:tblGrid>
      <w:tr>
        <w:tc>
          <w:tcPr>
            <w:tcW w:type="dxa" w:w="1200"/>
          </w:tcPr>
          <w:p>
            <w:r>
              <w:rPr>
                <w:b/>
                <w:sz w:val="20"/>
              </w:rPr>
              <w:t>Zeitpunkt</w:t>
            </w:r>
          </w:p>
        </w:tc>
        <w:tc>
          <w:tcPr>
            <w:tcW w:type="dxa" w:w="1500"/>
          </w:tcPr>
          <w:p>
            <w:r>
              <w:rPr>
                <w:b/>
                <w:sz w:val="20"/>
              </w:rPr>
              <w:t>Budget verbleibend</w:t>
            </w:r>
          </w:p>
        </w:tc>
        <w:tc>
          <w:tcPr>
            <w:tcW w:type="dxa" w:w="700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700"/>
          </w:tcPr>
          <w:p>
            <w:r>
              <w:rPr>
                <w:b/>
                <w:sz w:val="20"/>
              </w:rPr>
              <w:t>I</w:t>
            </w:r>
          </w:p>
        </w:tc>
        <w:tc>
          <w:tcPr>
            <w:tcW w:type="dxa" w:w="700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1500"/>
          </w:tcPr>
          <w:p>
            <w:r>
              <w:rPr>
                <w:b/>
                <w:sz w:val="20"/>
              </w:rPr>
              <w:t>KZ (kumuliert)</w:t>
            </w:r>
          </w:p>
        </w:tc>
        <w:tc>
          <w:tcPr>
            <w:tcW w:type="dxa" w:w="1500"/>
          </w:tcPr>
          <w:p>
            <w:r>
              <w:rPr>
                <w:b/>
                <w:sz w:val="20"/>
              </w:rPr>
              <w:t>Schaden (Welle)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</w:rPr>
              <w:t>Start</w:t>
            </w:r>
          </w:p>
        </w:tc>
        <w:tc>
          <w:tcPr>
            <w:tcW w:type="dxa" w:w="1500"/>
          </w:tcPr>
          <w:p>
            <w:r>
              <w:rPr>
                <w:sz w:val="20"/>
              </w:rPr>
            </w:r>
          </w:p>
        </w:tc>
        <w:tc>
          <w:tcPr>
            <w:tcW w:type="dxa" w:w="70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70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70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500"/>
          </w:tcPr>
          <w:p>
            <w:r>
              <w:rPr>
                <w:sz w:val="20"/>
              </w:rPr>
            </w:r>
          </w:p>
        </w:tc>
        <w:tc>
          <w:tcPr>
            <w:tcW w:type="dxa" w:w="150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</w:rPr>
              <w:t>Nach Welle 1</w:t>
            </w:r>
          </w:p>
        </w:tc>
        <w:tc>
          <w:tcPr>
            <w:tcW w:type="dxa" w:w="1500"/>
          </w:tcPr>
          <w:p>
            <w:r>
              <w:rPr>
                <w:sz w:val="20"/>
              </w:rPr>
            </w:r>
          </w:p>
        </w:tc>
        <w:tc>
          <w:tcPr>
            <w:tcW w:type="dxa" w:w="700"/>
          </w:tcPr>
          <w:p>
            <w:r>
              <w:rPr>
                <w:sz w:val="20"/>
              </w:rPr>
            </w:r>
          </w:p>
        </w:tc>
        <w:tc>
          <w:tcPr>
            <w:tcW w:type="dxa" w:w="700"/>
          </w:tcPr>
          <w:p>
            <w:r>
              <w:rPr>
                <w:sz w:val="20"/>
              </w:rPr>
            </w:r>
          </w:p>
        </w:tc>
        <w:tc>
          <w:tcPr>
            <w:tcW w:type="dxa" w:w="700"/>
          </w:tcPr>
          <w:p>
            <w:r>
              <w:rPr>
                <w:sz w:val="20"/>
              </w:rPr>
            </w:r>
          </w:p>
        </w:tc>
        <w:tc>
          <w:tcPr>
            <w:tcW w:type="dxa" w:w="1500"/>
          </w:tcPr>
          <w:p>
            <w:r>
              <w:rPr>
                <w:sz w:val="20"/>
              </w:rPr>
            </w:r>
          </w:p>
        </w:tc>
        <w:tc>
          <w:tcPr>
            <w:tcW w:type="dxa" w:w="150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</w:rPr>
              <w:t>Nach Welle 2</w:t>
            </w:r>
          </w:p>
        </w:tc>
        <w:tc>
          <w:tcPr>
            <w:tcW w:type="dxa" w:w="1500"/>
          </w:tcPr>
          <w:p>
            <w:r>
              <w:rPr>
                <w:sz w:val="20"/>
              </w:rPr>
            </w:r>
          </w:p>
        </w:tc>
        <w:tc>
          <w:tcPr>
            <w:tcW w:type="dxa" w:w="700"/>
          </w:tcPr>
          <w:p>
            <w:r>
              <w:rPr>
                <w:sz w:val="20"/>
              </w:rPr>
            </w:r>
          </w:p>
        </w:tc>
        <w:tc>
          <w:tcPr>
            <w:tcW w:type="dxa" w:w="700"/>
          </w:tcPr>
          <w:p>
            <w:r>
              <w:rPr>
                <w:sz w:val="20"/>
              </w:rPr>
            </w:r>
          </w:p>
        </w:tc>
        <w:tc>
          <w:tcPr>
            <w:tcW w:type="dxa" w:w="700"/>
          </w:tcPr>
          <w:p>
            <w:r>
              <w:rPr>
                <w:sz w:val="20"/>
              </w:rPr>
            </w:r>
          </w:p>
        </w:tc>
        <w:tc>
          <w:tcPr>
            <w:tcW w:type="dxa" w:w="1500"/>
          </w:tcPr>
          <w:p>
            <w:r>
              <w:rPr>
                <w:sz w:val="20"/>
              </w:rPr>
            </w:r>
          </w:p>
        </w:tc>
        <w:tc>
          <w:tcPr>
            <w:tcW w:type="dxa" w:w="150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</w:rPr>
              <w:t>Nach Welle 3</w:t>
            </w:r>
          </w:p>
        </w:tc>
        <w:tc>
          <w:tcPr>
            <w:tcW w:type="dxa" w:w="1500"/>
          </w:tcPr>
          <w:p>
            <w:r>
              <w:rPr>
                <w:sz w:val="20"/>
              </w:rPr>
            </w:r>
          </w:p>
        </w:tc>
        <w:tc>
          <w:tcPr>
            <w:tcW w:type="dxa" w:w="700"/>
          </w:tcPr>
          <w:p>
            <w:r>
              <w:rPr>
                <w:sz w:val="20"/>
              </w:rPr>
            </w:r>
          </w:p>
        </w:tc>
        <w:tc>
          <w:tcPr>
            <w:tcW w:type="dxa" w:w="700"/>
          </w:tcPr>
          <w:p>
            <w:r>
              <w:rPr>
                <w:sz w:val="20"/>
              </w:rPr>
            </w:r>
          </w:p>
        </w:tc>
        <w:tc>
          <w:tcPr>
            <w:tcW w:type="dxa" w:w="700"/>
          </w:tcPr>
          <w:p>
            <w:r>
              <w:rPr>
                <w:sz w:val="20"/>
              </w:rPr>
            </w:r>
          </w:p>
        </w:tc>
        <w:tc>
          <w:tcPr>
            <w:tcW w:type="dxa" w:w="1500"/>
          </w:tcPr>
          <w:p>
            <w:r>
              <w:rPr>
                <w:sz w:val="20"/>
              </w:rPr>
            </w:r>
          </w:p>
        </w:tc>
        <w:tc>
          <w:tcPr>
            <w:tcW w:type="dxa" w:w="1500"/>
          </w:tcPr>
          <w:p>
            <w:r>
              <w:rPr>
                <w:sz w:val="20"/>
              </w:rPr>
            </w:r>
          </w:p>
        </w:tc>
      </w:tr>
    </w:tbl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08FF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2026-01-28T00:20:42Z</dcterms:modified>
</cp:coreProperties>
</file>