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704B" w14:textId="77777777" w:rsidR="00AA3308" w:rsidRPr="00AA3308" w:rsidRDefault="00AA3308" w:rsidP="00AA3308">
      <w:pPr>
        <w:rPr>
          <w:b/>
          <w:bCs/>
          <w:sz w:val="24"/>
          <w:szCs w:val="24"/>
        </w:rPr>
      </w:pPr>
      <w:bookmarkStart w:id="0" w:name="_Toc120625408"/>
      <w:bookmarkStart w:id="1" w:name="_Toc90384078"/>
      <w:r w:rsidRPr="00AA3308">
        <w:rPr>
          <w:b/>
          <w:bCs/>
          <w:sz w:val="24"/>
          <w:szCs w:val="24"/>
        </w:rPr>
        <w:t>MECHTECH GmbH – Unternehmenssteckbrief</w:t>
      </w:r>
    </w:p>
    <w:p w14:paraId="28E0B840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Kurzprofil</w:t>
      </w:r>
    </w:p>
    <w:p w14:paraId="50094245" w14:textId="77777777" w:rsidR="00AA3308" w:rsidRPr="00AA3308" w:rsidRDefault="00AA3308" w:rsidP="00AA3308">
      <w:p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Die MECHTECH GmbH ist ein mittelständischer Präzisionsfertiger mit Schwerpunkt auf Komponenten für E-Antriebe. Am Standort Göppingen (Baden-Württemberg) werden hochgenaue CNC-Komponenten gefertigt und Entwicklungsleistungen für Prototypen sowie Kleinserien erbracht. Der Betrieb ist auf hohe Wiederholgenauigkeit, stabile Prozessketten und termintreue Auslieferung ausgelegt.</w:t>
      </w:r>
    </w:p>
    <w:p w14:paraId="0E4034CD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Produkte &amp; Leistungen</w:t>
      </w:r>
    </w:p>
    <w:p w14:paraId="503646E2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Präzisions-Getriebeteile für E-Antriebe</w:t>
      </w:r>
    </w:p>
    <w:p w14:paraId="4D4A1E99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CNC-gefräste Komponenten (Toleranzen &lt; 10 µm)</w:t>
      </w:r>
    </w:p>
    <w:p w14:paraId="2F84ACE6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0FE9BAD1" w14:textId="77777777" w:rsidR="00AA3308" w:rsidRPr="00AA3308" w:rsidRDefault="00AA3308" w:rsidP="00AA3308">
      <w:pPr>
        <w:pStyle w:val="Listenabsatz"/>
        <w:numPr>
          <w:ilvl w:val="0"/>
          <w:numId w:val="3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Zerspanungstechnik: 5-Achs-Fräsen und Drehen</w:t>
      </w:r>
    </w:p>
    <w:p w14:paraId="14B08D70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Standort &amp; Organisation</w:t>
      </w:r>
    </w:p>
    <w:p w14:paraId="542ECD4A" w14:textId="77777777" w:rsidR="00AA3308" w:rsidRPr="00AA3308" w:rsidRDefault="00AA3308" w:rsidP="00AA3308">
      <w:pPr>
        <w:pStyle w:val="Listenabsatz"/>
        <w:numPr>
          <w:ilvl w:val="0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Hauptsitz/Produktion: Göppingen, 1 Halle (3.500 m²)</w:t>
      </w:r>
    </w:p>
    <w:p w14:paraId="2286744A" w14:textId="77777777" w:rsidR="00AA3308" w:rsidRPr="00AA3308" w:rsidRDefault="00AA3308" w:rsidP="00AA3308">
      <w:pPr>
        <w:pStyle w:val="Listenabsatz"/>
        <w:numPr>
          <w:ilvl w:val="0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Mitarbeitende: ca. 80</w:t>
      </w:r>
    </w:p>
    <w:p w14:paraId="1B27FDA6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Produktion: 50 (Facharbeiter, Meister, Qualität)</w:t>
      </w:r>
    </w:p>
    <w:p w14:paraId="683A76B6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Verwaltung: 20 (Vertrieb, Einkauf, Buchhaltung)</w:t>
      </w:r>
    </w:p>
    <w:p w14:paraId="25E900CE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Konstruktion/Entwicklung: 8 (CAD, Prozessplanung)</w:t>
      </w:r>
    </w:p>
    <w:p w14:paraId="76D0ACC2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3E808B15" w14:textId="77777777" w:rsidR="00AA3308" w:rsidRPr="00AA3308" w:rsidRDefault="00AA3308" w:rsidP="00AA3308">
      <w:pPr>
        <w:pStyle w:val="Listenabsatz"/>
        <w:numPr>
          <w:ilvl w:val="1"/>
          <w:numId w:val="4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IT: 2 Admins (1 Vollzeit, 1 Teilzeit)</w:t>
      </w:r>
    </w:p>
    <w:p w14:paraId="6464812A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Wirtschaftliche Eckdaten</w:t>
      </w:r>
    </w:p>
    <w:p w14:paraId="7EBC0E9B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Umsatz: ca. 15 Mio. EUR p. a.</w:t>
      </w:r>
    </w:p>
    <w:p w14:paraId="0F895529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Kundenstruktur: 1 deutscher Premium-OEM als Hauptkunde (ca. 60 % Umsatz)</w:t>
      </w:r>
    </w:p>
    <w:p w14:paraId="2294BB52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Weitere Kunden: ca. 25 (Tier-1-Zulieferer, Maschinenbau)</w:t>
      </w:r>
    </w:p>
    <w:p w14:paraId="3EE2FFD2" w14:textId="77777777" w:rsidR="00AA3308" w:rsidRPr="00AA3308" w:rsidRDefault="00AA3308" w:rsidP="00AA3308">
      <w:pPr>
        <w:pStyle w:val="Listenabsatz"/>
        <w:numPr>
          <w:ilvl w:val="0"/>
          <w:numId w:val="5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Wachstum: ca. +12 % p. a. (getrieben durch E-Mobility-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Nachfrage)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257CFC9F" w14:textId="77777777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t>Produktion &amp; Betrieb</w:t>
      </w:r>
    </w:p>
    <w:p w14:paraId="46F437BA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Betriebsmodell: 24/5 (Mo–Fr, 3 Schichten)</w:t>
      </w:r>
    </w:p>
    <w:p w14:paraId="220ABDDA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Anlagenpark: 12 CNC-Maschinen, 3 Fertigungslinien</w:t>
      </w:r>
    </w:p>
    <w:p w14:paraId="11222186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Produktionssteuerung: MES Siemens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Opcenter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; SCADA/HMI zur Visualisierung</w:t>
      </w:r>
    </w:p>
    <w:p w14:paraId="656CD689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CNC-Steuerungen u. a.: Siemens Sinumerik, Heidenhain</w:t>
      </w:r>
    </w:p>
    <w:p w14:paraId="1B6F4334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Liefermodell: Just-in-Time an OEM, Liefertermintreue &gt; 98 %</w:t>
      </w:r>
    </w:p>
    <w:p w14:paraId="1671D7EB" w14:textId="77777777" w:rsidR="00AA3308" w:rsidRPr="00AA3308" w:rsidRDefault="00AA3308" w:rsidP="00AA3308">
      <w:pPr>
        <w:pStyle w:val="Listenabsatz"/>
        <w:numPr>
          <w:ilvl w:val="0"/>
          <w:numId w:val="6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Operative Prämisse: Unterbrechungen &gt; 4 Stunden wirken sich unmittelbar auf Auslieferungen aus und sind in Vertragskontexten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relevantCNC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-gefräste Komponenten (Toleranzen &lt; 10 µm)</w:t>
      </w:r>
    </w:p>
    <w:p w14:paraId="14E52F61" w14:textId="77777777" w:rsidR="00AA3308" w:rsidRDefault="00AA330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2875046D" w14:textId="503B7ADC" w:rsidR="00AA3308" w:rsidRPr="00AA3308" w:rsidRDefault="00AA3308" w:rsidP="00AA3308">
      <w:pPr>
        <w:rPr>
          <w:rFonts w:asciiTheme="majorHAnsi" w:hAnsiTheme="majorHAnsi" w:cstheme="majorHAnsi"/>
          <w:b/>
          <w:sz w:val="20"/>
          <w:szCs w:val="20"/>
        </w:rPr>
      </w:pPr>
      <w:r w:rsidRPr="00AA3308">
        <w:rPr>
          <w:rFonts w:asciiTheme="majorHAnsi" w:hAnsiTheme="majorHAnsi" w:cstheme="majorHAnsi"/>
          <w:b/>
          <w:sz w:val="20"/>
          <w:szCs w:val="20"/>
        </w:rPr>
        <w:lastRenderedPageBreak/>
        <w:t>IT-/OT-Landschaft</w:t>
      </w:r>
    </w:p>
    <w:p w14:paraId="2C3789F6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  <w:t>Office / Engineering</w:t>
      </w:r>
    </w:p>
    <w:p w14:paraId="69B47D54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Windows Server 2019 (Active Directory)</w:t>
      </w:r>
    </w:p>
    <w:p w14:paraId="4C38ECFC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  <w:lang w:val="en-US"/>
        </w:rPr>
      </w:pPr>
      <w:r w:rsidRPr="00AA3308">
        <w:rPr>
          <w:rFonts w:asciiTheme="majorHAnsi" w:hAnsiTheme="majorHAnsi" w:cstheme="majorHAnsi"/>
          <w:sz w:val="20"/>
          <w:szCs w:val="20"/>
          <w:lang w:val="en-US"/>
        </w:rPr>
        <w:t>ca. 30 Windows-PCs (Office, SharePoint, E-Mail)</w:t>
      </w:r>
    </w:p>
    <w:p w14:paraId="3EE867D9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CAD: Siemens NX (8 Arbeitsplätze)</w:t>
      </w:r>
    </w:p>
    <w:p w14:paraId="74E4C3AD" w14:textId="77777777" w:rsidR="00AA3308" w:rsidRPr="00AA3308" w:rsidRDefault="00AA3308" w:rsidP="00AA3308">
      <w:pPr>
        <w:pStyle w:val="Listenabsatz"/>
        <w:numPr>
          <w:ilvl w:val="0"/>
          <w:numId w:val="7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File-Server (Konstruktionsdaten, 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Dokumente)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0733A782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bCs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bCs/>
          <w:i w:val="0"/>
          <w:iCs w:val="0"/>
          <w:sz w:val="20"/>
          <w:szCs w:val="20"/>
        </w:rPr>
        <w:t>OT / Produktion</w:t>
      </w:r>
    </w:p>
    <w:p w14:paraId="63ADC9D1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MES (Siemens, Windows-Server)</w:t>
      </w:r>
    </w:p>
    <w:p w14:paraId="1D243B7B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SCADA/HMI-Systeme</w:t>
      </w:r>
    </w:p>
    <w:p w14:paraId="120AAE62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12 CNC-Steuerungen (Sinumerik/Heidenhain)</w:t>
      </w:r>
    </w:p>
    <w:p w14:paraId="3ED0B121" w14:textId="77777777" w:rsidR="00AA3308" w:rsidRPr="00AA3308" w:rsidRDefault="00AA3308" w:rsidP="00AA3308">
      <w:pPr>
        <w:pStyle w:val="Listenabsatz"/>
        <w:numPr>
          <w:ilvl w:val="0"/>
          <w:numId w:val="8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Office-IT und OT/Produktion nutzen dasselbe LAN (kein separates OT-</w:t>
      </w:r>
      <w:proofErr w:type="gramStart"/>
      <w:r w:rsidRPr="00AA3308">
        <w:rPr>
          <w:rFonts w:asciiTheme="majorHAnsi" w:hAnsiTheme="majorHAnsi" w:cstheme="majorHAnsi"/>
          <w:sz w:val="20"/>
          <w:szCs w:val="20"/>
        </w:rPr>
        <w:t>Netz)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Prototyping</w:t>
      </w:r>
      <w:proofErr w:type="spellEnd"/>
      <w:proofErr w:type="gram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67281C6C" w14:textId="77777777" w:rsidR="00AA3308" w:rsidRPr="00AA3308" w:rsidRDefault="00AA3308" w:rsidP="00AA3308">
      <w:pPr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</w:pPr>
      <w:r w:rsidRPr="00AA3308">
        <w:rPr>
          <w:rStyle w:val="Hervorhebung"/>
          <w:rFonts w:asciiTheme="majorHAnsi" w:hAnsiTheme="majorHAnsi" w:cstheme="majorHAnsi"/>
          <w:i w:val="0"/>
          <w:iCs w:val="0"/>
          <w:sz w:val="20"/>
          <w:szCs w:val="20"/>
        </w:rPr>
        <w:t>SaaS / Cloud / Externe Anwendungen</w:t>
      </w:r>
    </w:p>
    <w:p w14:paraId="08D7487C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CRM: Salesforce</w:t>
      </w:r>
    </w:p>
    <w:p w14:paraId="46046A14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Cloud-Backup: Veeam für Office-Daten (monatliche Sicherung)</w:t>
      </w:r>
    </w:p>
    <w:p w14:paraId="3266617A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Lieferanten-Portal: extern erreichbare Web-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ApplikationPrototyping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3266617A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Cloud-Nutzung ist auf Vertriebsprozesse (Salesforce) und die monatliche Backup-Sicherung beschränkt, keine weiteren Fachanwendungen in der Cloud im Einsatz</w:t>
      </w:r>
    </w:p>
    <w:p w14:paraId="3266617A" w14:textId="77777777" w:rsidR="00AA3308" w:rsidRPr="00AA3308" w:rsidRDefault="00AA3308" w:rsidP="00AA3308">
      <w:pPr>
        <w:pStyle w:val="Listenabsatz"/>
        <w:numPr>
          <w:ilvl w:val="0"/>
          <w:numId w:val="9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Mobilgeräte: Außendienst und Vertrieb nutzen firmeneigene Notebooks, kein separates Mobile-Device-Programm im Einsatz</w:t>
      </w:r>
    </w:p>
    <w:p w14:paraId="3CF1BC5D" w14:textId="77777777" w:rsidR="00AA3308" w:rsidRPr="00AA3308" w:rsidRDefault="00AA3308" w:rsidP="00AA3308">
      <w:pPr>
        <w:rPr>
          <w:rFonts w:asciiTheme="majorHAnsi" w:hAnsiTheme="majorHAnsi" w:cstheme="majorHAnsi"/>
          <w:b/>
          <w:bCs/>
          <w:sz w:val="20"/>
          <w:szCs w:val="20"/>
        </w:rPr>
      </w:pPr>
      <w:bookmarkStart w:id="2" w:name="_Toc120651102"/>
      <w:bookmarkStart w:id="3" w:name="_Toc147497952"/>
      <w:bookmarkStart w:id="4" w:name="_Toc215480466"/>
      <w:bookmarkEnd w:id="0"/>
      <w:bookmarkEnd w:id="1"/>
      <w:r w:rsidRPr="00AA3308">
        <w:rPr>
          <w:rFonts w:asciiTheme="majorHAnsi" w:hAnsiTheme="majorHAnsi" w:cstheme="majorHAnsi"/>
          <w:b/>
          <w:bCs/>
          <w:sz w:val="20"/>
          <w:szCs w:val="20"/>
        </w:rPr>
        <w:t>Betriebs- &amp; Service-Setup</w:t>
      </w:r>
    </w:p>
    <w:p w14:paraId="20D40F1C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IT-Betrieb durch 2 Administratoren (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Generalistenprofil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)</w:t>
      </w:r>
    </w:p>
    <w:p w14:paraId="20D40F1C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Administratorzugänge: gemeinsam genutzte Admin-Konten für Server- und Netzwerkkomponenten, keine gesonderte Verwaltung privilegierter Zugriffe</w:t>
      </w:r>
    </w:p>
    <w:p w14:paraId="0254580D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Externe IT-Dienstleister bei Bedarf, Remote-Zugriff für Support</w:t>
      </w:r>
    </w:p>
    <w:p w14:paraId="78C2AB02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Remote-Zugänge durch fünf Lieferanten (u. a. MES, CAD, IT)</w:t>
      </w:r>
    </w:p>
    <w:p w14:paraId="5F276616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proofErr w:type="spellStart"/>
      <w:r w:rsidRPr="00AA3308">
        <w:rPr>
          <w:rFonts w:asciiTheme="majorHAnsi" w:hAnsiTheme="majorHAnsi" w:cstheme="majorHAnsi"/>
          <w:sz w:val="20"/>
          <w:szCs w:val="20"/>
        </w:rPr>
        <w:t>Policies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>/Standards: derzeit nicht als dokumentierter Satz beschrieben</w:t>
      </w:r>
    </w:p>
    <w:p w14:paraId="05843C3A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Sicherheitsbetrieb: SIEM/EDR nicht als feste Plattformkomponenten genannt</w:t>
      </w:r>
    </w:p>
    <w:p w14:paraId="3D073591" w14:textId="77777777" w:rsidR="00AA3308" w:rsidRPr="00AA3308" w:rsidRDefault="00AA3308" w:rsidP="00AA3308">
      <w:pPr>
        <w:pStyle w:val="Listenabsatz"/>
        <w:numPr>
          <w:ilvl w:val="0"/>
          <w:numId w:val="10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Patch-/Update-Praxis in der Produktion: Umsetzung im Rahmen verfügbarer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WartungsfensterPrototyping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und Kleinserien für OEMs</w:t>
      </w:r>
    </w:p>
    <w:p w14:paraId="589ED3DD" w14:textId="77777777" w:rsidR="00AA3308" w:rsidRPr="00AA3308" w:rsidRDefault="00AA3308" w:rsidP="00AA3308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AA3308">
        <w:rPr>
          <w:rFonts w:asciiTheme="majorHAnsi" w:hAnsiTheme="majorHAnsi" w:cstheme="majorHAnsi"/>
          <w:b/>
          <w:bCs/>
          <w:sz w:val="20"/>
          <w:szCs w:val="20"/>
        </w:rPr>
        <w:t>Abhängigkeiten</w:t>
      </w:r>
    </w:p>
    <w:p w14:paraId="6032BD78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Hohe Kopplung zwischen Liefermodell (JIT/Termintreue) und Verfügbarkeit von MES/SCADA sowie Engineering- und File-Services</w:t>
      </w:r>
    </w:p>
    <w:p w14:paraId="159B8BEC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Relevanz von Konstruktions- und Prozessdaten für Fertigungsfähigkeit und Kundenkommunikation</w:t>
      </w:r>
    </w:p>
    <w:p w14:paraId="0B53A2B9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>Mehrere Remote-Zugänge in Kombination mit schlankem IT-Team und stark integrierter Netzwerkinfrastruktur</w:t>
      </w:r>
    </w:p>
    <w:p w14:paraId="22963959" w14:textId="77777777" w:rsidR="00AA3308" w:rsidRPr="00AA3308" w:rsidRDefault="00AA3308" w:rsidP="00AA3308">
      <w:pPr>
        <w:pStyle w:val="Listenabsatz"/>
        <w:numPr>
          <w:ilvl w:val="0"/>
          <w:numId w:val="11"/>
        </w:numPr>
        <w:rPr>
          <w:rFonts w:asciiTheme="majorHAnsi" w:hAnsiTheme="majorHAnsi" w:cstheme="majorHAnsi"/>
          <w:sz w:val="20"/>
          <w:szCs w:val="20"/>
        </w:rPr>
      </w:pPr>
      <w:r w:rsidRPr="00AA3308">
        <w:rPr>
          <w:rFonts w:asciiTheme="majorHAnsi" w:hAnsiTheme="majorHAnsi" w:cstheme="majorHAnsi"/>
          <w:sz w:val="20"/>
          <w:szCs w:val="20"/>
        </w:rPr>
        <w:t xml:space="preserve">Auslastungs- und </w:t>
      </w:r>
      <w:proofErr w:type="spellStart"/>
      <w:r w:rsidRPr="00AA3308">
        <w:rPr>
          <w:rFonts w:asciiTheme="majorHAnsi" w:hAnsiTheme="majorHAnsi" w:cstheme="majorHAnsi"/>
          <w:sz w:val="20"/>
          <w:szCs w:val="20"/>
        </w:rPr>
        <w:t>Stillstandsfenster</w:t>
      </w:r>
      <w:proofErr w:type="spellEnd"/>
      <w:r w:rsidRPr="00AA3308">
        <w:rPr>
          <w:rFonts w:asciiTheme="majorHAnsi" w:hAnsiTheme="majorHAnsi" w:cstheme="majorHAnsi"/>
          <w:sz w:val="20"/>
          <w:szCs w:val="20"/>
        </w:rPr>
        <w:t xml:space="preserve"> als Taktgeber für Änderungen/Updates in der produktionsnahen Umgebung</w:t>
      </w:r>
    </w:p>
    <w:bookmarkEnd w:id="2"/>
    <w:bookmarkEnd w:id="3"/>
    <w:bookmarkEnd w:id="4"/>
    <w:p w14:paraId="40DB95BB" w14:textId="6F8C4866" w:rsidR="00576BD1" w:rsidRPr="00AA3308" w:rsidRDefault="00576BD1" w:rsidP="00AA3308">
      <w:pPr>
        <w:spacing w:after="0"/>
        <w:rPr>
          <w:rFonts w:asciiTheme="majorHAnsi" w:hAnsiTheme="majorHAnsi" w:cstheme="majorHAnsi"/>
          <w:sz w:val="20"/>
          <w:szCs w:val="20"/>
        </w:rPr>
      </w:pPr>
    </w:p>
    <w:sectPr w:rsidR="00576BD1" w:rsidRPr="00AA3308" w:rsidSect="00AA3308">
      <w:headerReference w:type="even" r:id="rId7"/>
      <w:headerReference w:type="default" r:id="rId8"/>
      <w:footerReference w:type="even" r:id="rId9"/>
      <w:footerReference w:type="default" r:id="rId10"/>
      <w:pgSz w:w="11906" w:h="16838" w:code="9"/>
      <w:pgMar w:top="2269" w:right="1416" w:bottom="1021" w:left="1418" w:header="102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AD72E" w14:textId="77777777" w:rsidR="00905161" w:rsidRDefault="00905161">
      <w:pPr>
        <w:spacing w:after="0" w:line="240" w:lineRule="auto"/>
      </w:pPr>
      <w:r>
        <w:separator/>
      </w:r>
    </w:p>
  </w:endnote>
  <w:endnote w:type="continuationSeparator" w:id="0">
    <w:p w14:paraId="46F52A77" w14:textId="77777777" w:rsidR="00905161" w:rsidRDefault="00905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5AD7D" w14:textId="77777777" w:rsidR="00000000" w:rsidRPr="008C65DC" w:rsidRDefault="00000000">
    <w:pPr>
      <w:pStyle w:val="FuzeileersteZeile"/>
      <w:rPr>
        <w:snapToGrid w:val="0"/>
      </w:rPr>
    </w:pPr>
    <w:r w:rsidRPr="008C65DC">
      <w:rPr>
        <w:snapToGrid w:val="0"/>
      </w:rPr>
      <w:t xml:space="preserve">- </w:t>
    </w:r>
    <w:r w:rsidRPr="008C65DC">
      <w:rPr>
        <w:snapToGrid w:val="0"/>
      </w:rPr>
      <w:fldChar w:fldCharType="begin"/>
    </w:r>
    <w:r w:rsidRPr="008C65DC">
      <w:rPr>
        <w:snapToGrid w:val="0"/>
      </w:rPr>
      <w:instrText xml:space="preserve"> PAGE </w:instrText>
    </w:r>
    <w:r w:rsidRPr="008C65DC">
      <w:rPr>
        <w:snapToGrid w:val="0"/>
      </w:rPr>
      <w:fldChar w:fldCharType="separate"/>
    </w:r>
    <w:r w:rsidRPr="008C65DC">
      <w:rPr>
        <w:snapToGrid w:val="0"/>
      </w:rPr>
      <w:t>54</w:t>
    </w:r>
    <w:r w:rsidRPr="008C65DC">
      <w:rPr>
        <w:snapToGrid w:val="0"/>
      </w:rPr>
      <w:fldChar w:fldCharType="end"/>
    </w:r>
    <w:r w:rsidRPr="008C65DC">
      <w:rPr>
        <w:snapToGrid w:val="0"/>
      </w:rPr>
      <w:t xml:space="preserve"> –</w:t>
    </w:r>
    <w:r w:rsidRPr="008C65DC">
      <w:tab/>
      <w:t>Stand 07.05.2002</w:t>
    </w:r>
    <w:r w:rsidRPr="008C65DC">
      <w:rPr>
        <w:snapToGrid w:val="0"/>
      </w:rPr>
      <w:tab/>
    </w:r>
    <w:r w:rsidRPr="008C65DC">
      <w:t>© 2000-2002 Solutions GmbH</w:t>
    </w:r>
  </w:p>
  <w:p w14:paraId="757D7643" w14:textId="77777777" w:rsidR="00000000" w:rsidRPr="008C65DC" w:rsidRDefault="0000000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9F80" w14:textId="77777777" w:rsidR="00000000" w:rsidRPr="008C65DC" w:rsidRDefault="00000000" w:rsidP="00690BC4">
    <w:pPr>
      <w:pStyle w:val="Fuzeil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E5134" w14:textId="77777777" w:rsidR="00905161" w:rsidRDefault="00905161">
      <w:pPr>
        <w:spacing w:after="0" w:line="240" w:lineRule="auto"/>
      </w:pPr>
      <w:r>
        <w:separator/>
      </w:r>
    </w:p>
  </w:footnote>
  <w:footnote w:type="continuationSeparator" w:id="0">
    <w:p w14:paraId="7CF327D6" w14:textId="77777777" w:rsidR="00905161" w:rsidRDefault="00905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E95D1" w14:textId="77777777" w:rsidR="00000000" w:rsidRPr="008C65DC" w:rsidRDefault="00000000">
    <w:pPr>
      <w:pStyle w:val="Kopfzeilegerade"/>
    </w:pPr>
    <w:r w:rsidRPr="008C65D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977F53" wp14:editId="34FC4D73">
              <wp:simplePos x="0" y="0"/>
              <wp:positionH relativeFrom="column">
                <wp:posOffset>1026160</wp:posOffset>
              </wp:positionH>
              <wp:positionV relativeFrom="page">
                <wp:posOffset>1094740</wp:posOffset>
              </wp:positionV>
              <wp:extent cx="5039995" cy="0"/>
              <wp:effectExtent l="16510" t="18415" r="10795" b="10160"/>
              <wp:wrapNone/>
              <wp:docPr id="2" name="Gerader Verbinde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399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8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8834BF" id="Gerader Verbinde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8pt,86.2pt" to="477.65pt,8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" strokecolor="gray" strokeweight="1.5pt">
              <w10:wrap anchory="page"/>
            </v:line>
          </w:pict>
        </mc:Fallback>
      </mc:AlternateContent>
    </w:r>
    <w:r>
      <w:object w:dxaOrig="1440" w:dyaOrig="1440" w14:anchorId="158291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56.4pt;margin-top:31.2pt;width:90.7pt;height:76.85pt;z-index:251659264;visibility:visible;mso-wrap-edited:f;mso-position-horizontal-relative:page;mso-position-vertical-relative:page">
          <v:imagedata r:id="rId1" o:title="" gain="69719f"/>
          <w10:wrap anchorx="page" anchory="page"/>
        </v:shape>
        <o:OLEObject Type="Embed" ProgID="Word.Picture.8" ShapeID="_x0000_s1025" DrawAspect="Content" ObjectID="_1831099898" r:id="rId2"/>
      </w:object>
    </w:r>
  </w:p>
  <w:p w14:paraId="15D65B61" w14:textId="77777777" w:rsidR="00000000" w:rsidRPr="008C65DC" w:rsidRDefault="00000000">
    <w:pPr>
      <w:pStyle w:val="Kopfzeilegerade"/>
    </w:pPr>
    <w:r w:rsidRPr="008C65DC">
      <w:t>Projekthandbuch</w:t>
    </w:r>
  </w:p>
  <w:p w14:paraId="5B7C53A8" w14:textId="77777777" w:rsidR="00000000" w:rsidRPr="008C65DC" w:rsidRDefault="0000000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2F2F8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  <w:p w14:paraId="142FE3AC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  <w:p w14:paraId="0C3DED38" w14:textId="77777777" w:rsidR="00000000" w:rsidRPr="008C65DC" w:rsidRDefault="00000000" w:rsidP="000D36ED">
    <w:pPr>
      <w:pStyle w:val="Kopfzeile"/>
      <w:rPr>
        <w:rStyle w:val="Hyperlink"/>
        <w:color w:val="666666" w:themeColor="text1" w:themeTint="99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3DC4"/>
    <w:multiLevelType w:val="hybridMultilevel"/>
    <w:tmpl w:val="89AE59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23FB8"/>
    <w:multiLevelType w:val="hybridMultilevel"/>
    <w:tmpl w:val="825A5E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61109"/>
    <w:multiLevelType w:val="hybridMultilevel"/>
    <w:tmpl w:val="5F42E8B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064EA0"/>
    <w:multiLevelType w:val="hybridMultilevel"/>
    <w:tmpl w:val="14042A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B0692"/>
    <w:multiLevelType w:val="hybridMultilevel"/>
    <w:tmpl w:val="F754F63A"/>
    <w:lvl w:ilvl="0" w:tplc="9C2481D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0"/>
        <w:szCs w:val="2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E7C65"/>
    <w:multiLevelType w:val="hybridMultilevel"/>
    <w:tmpl w:val="E42C16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F6BB9"/>
    <w:multiLevelType w:val="hybridMultilevel"/>
    <w:tmpl w:val="B980FB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7319E1"/>
    <w:multiLevelType w:val="hybridMultilevel"/>
    <w:tmpl w:val="2828FA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CC64EC"/>
    <w:multiLevelType w:val="hybridMultilevel"/>
    <w:tmpl w:val="76727B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46126"/>
    <w:multiLevelType w:val="hybridMultilevel"/>
    <w:tmpl w:val="596CE1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EA3FA5"/>
    <w:multiLevelType w:val="hybridMultilevel"/>
    <w:tmpl w:val="C742C2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1871720">
    <w:abstractNumId w:val="4"/>
  </w:num>
  <w:num w:numId="2" w16cid:durableId="1492018971">
    <w:abstractNumId w:val="8"/>
  </w:num>
  <w:num w:numId="3" w16cid:durableId="2022390233">
    <w:abstractNumId w:val="0"/>
  </w:num>
  <w:num w:numId="4" w16cid:durableId="950014429">
    <w:abstractNumId w:val="2"/>
  </w:num>
  <w:num w:numId="5" w16cid:durableId="1103113465">
    <w:abstractNumId w:val="10"/>
  </w:num>
  <w:num w:numId="6" w16cid:durableId="534193011">
    <w:abstractNumId w:val="7"/>
  </w:num>
  <w:num w:numId="7" w16cid:durableId="801188459">
    <w:abstractNumId w:val="9"/>
  </w:num>
  <w:num w:numId="8" w16cid:durableId="744157">
    <w:abstractNumId w:val="5"/>
  </w:num>
  <w:num w:numId="9" w16cid:durableId="970981712">
    <w:abstractNumId w:val="1"/>
  </w:num>
  <w:num w:numId="10" w16cid:durableId="623124929">
    <w:abstractNumId w:val="3"/>
  </w:num>
  <w:num w:numId="11" w16cid:durableId="12924436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6BD1"/>
    <w:rsid w:val="00576BD1"/>
    <w:rsid w:val="00905161"/>
    <w:rsid w:val="00AA3308"/>
    <w:rsid w:val="00B333EF"/>
    <w:rsid w:val="00B7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2C75A"/>
  <w15:docId w15:val="{5C112F4A-C57A-4B8C-8D59-4131B915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qFormat/>
    <w:rPr>
      <w:i/>
      <w:iCs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5A5A5A" w:themeColor="text1" w:themeTint="A5"/>
    </w:rPr>
  </w:style>
  <w:style w:type="character" w:styleId="Buchtitel">
    <w:name w:val="Book Title"/>
    <w:basedOn w:val="Absatz-Standardschriftart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nhideWhenUsed/>
    <w:qFormat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</w:style>
  <w:style w:type="paragraph" w:styleId="Fuzeile">
    <w:name w:val="footer"/>
    <w:basedOn w:val="Standard"/>
    <w:link w:val="FuzeileZchn"/>
    <w:uiPriority w:val="99"/>
    <w:unhideWhenUsed/>
    <w:qFormat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954F72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customStyle="1" w:styleId="FuzeileersteZeile">
    <w:name w:val="Fußzeile_erste_Zeile"/>
    <w:basedOn w:val="Fuzeile"/>
    <w:rsid w:val="00AA3308"/>
    <w:pPr>
      <w:pBdr>
        <w:top w:val="single" w:sz="12" w:space="1" w:color="808080"/>
      </w:pBdr>
      <w:tabs>
        <w:tab w:val="clear" w:pos="4844"/>
        <w:tab w:val="clear" w:pos="9689"/>
        <w:tab w:val="center" w:pos="4820"/>
        <w:tab w:val="right" w:pos="9639"/>
      </w:tabs>
      <w:overflowPunct w:val="0"/>
      <w:autoSpaceDE w:val="0"/>
      <w:autoSpaceDN w:val="0"/>
      <w:adjustRightInd w:val="0"/>
      <w:spacing w:before="100" w:beforeAutospacing="1" w:after="240" w:line="160" w:lineRule="exact"/>
      <w:jc w:val="both"/>
      <w:textAlignment w:val="baseline"/>
    </w:pPr>
    <w:rPr>
      <w:rFonts w:ascii="Segoe UI" w:eastAsia="Times New Roman" w:hAnsi="Segoe UI" w:cs="Times New Roman"/>
      <w:color w:val="000000" w:themeColor="text1"/>
      <w:sz w:val="16"/>
      <w:szCs w:val="20"/>
      <w:lang w:eastAsia="de-DE"/>
    </w:rPr>
  </w:style>
  <w:style w:type="paragraph" w:customStyle="1" w:styleId="Kopfzeilegerade">
    <w:name w:val="Kopfzeile_gerade"/>
    <w:basedOn w:val="Kopfzeile"/>
    <w:rsid w:val="00AA3308"/>
    <w:pPr>
      <w:tabs>
        <w:tab w:val="clear" w:pos="4844"/>
        <w:tab w:val="clear" w:pos="9689"/>
        <w:tab w:val="center" w:pos="4536"/>
        <w:tab w:val="right" w:pos="9072"/>
      </w:tabs>
      <w:jc w:val="right"/>
    </w:pPr>
    <w:rPr>
      <w:rFonts w:ascii="Segoe UI" w:eastAsia="Times New Roman" w:hAnsi="Segoe UI" w:cs="Times New Roman"/>
      <w:color w:val="666666" w:themeColor="text1" w:themeTint="99"/>
      <w:sz w:val="16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448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Claudio Stanullo</dc:creator>
  <cp:lastModifiedBy>Claudio Stanullo</cp:lastModifiedBy>
  <cp:revision>3</cp:revision>
  <dcterms:created xsi:type="dcterms:W3CDTF">2026-01-28T09:01:00Z</dcterms:created>
  <dcterms:modified xsi:type="dcterms:W3CDTF">2026-01-28T09:05:00Z</dcterms:modified>
</cp:coreProperties>
</file>