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00704B" w14:textId="77777777" w:rsidR="00AA3308" w:rsidRPr="00AA3308" w:rsidRDefault="00AA3308" w:rsidP="00AA3308">
      <w:pPr>
        <w:rPr>
          <w:b/>
          <w:bCs/>
          <w:sz w:val="24"/>
          <w:szCs w:val="24"/>
        </w:rPr>
      </w:pPr>
      <w:bookmarkStart w:id="0" w:name="_Toc120625408"/>
      <w:bookmarkStart w:id="1" w:name="_Toc90384078"/>
      <w:r w:rsidRPr="00AA3308">
        <w:rPr>
          <w:b/>
          <w:bCs/>
          <w:sz w:val="24"/>
          <w:szCs w:val="24"/>
        </w:rPr>
        <w:t>MECHTECH GmbH: Unternehmenssteckbrief</w:t>
      </w:r>
    </w:p>
    <w:p w14:paraId="28E0B840" w14:textId="77777777" w:rsidR="00AA3308" w:rsidRPr="00AA3308" w:rsidRDefault="00AA3308" w:rsidP="00AA3308">
      <w:pPr>
        <w:rPr>
          <w:rFonts w:asciiTheme="majorHAnsi" w:hAnsiTheme="majorHAnsi" w:cstheme="majorHAnsi"/>
          <w:b/>
          <w:sz w:val="20"/>
          <w:szCs w:val="20"/>
        </w:rPr>
      </w:pPr>
      <w:r w:rsidRPr="00AA3308">
        <w:rPr>
          <w:rFonts w:asciiTheme="majorHAnsi" w:hAnsiTheme="majorHAnsi" w:cstheme="majorHAnsi"/>
          <w:b/>
          <w:sz w:val="20"/>
          <w:szCs w:val="20"/>
        </w:rPr>
        <w:t>Kurzprofil</w:t>
      </w:r>
    </w:p>
    <w:p w14:paraId="50094245" w14:textId="77777777" w:rsidR="00AA3308" w:rsidRPr="00AA3308" w:rsidRDefault="00AA3308" w:rsidP="00AA3308">
      <w:pPr>
        <w:rPr>
          <w:rFonts w:asciiTheme="majorHAnsi" w:hAnsiTheme="majorHAnsi" w:cstheme="majorHAnsi"/>
          <w:sz w:val="20"/>
          <w:szCs w:val="20"/>
        </w:rPr>
      </w:pPr>
      <w:r w:rsidRPr="00AA3308">
        <w:rPr>
          <w:rFonts w:asciiTheme="majorHAnsi" w:hAnsiTheme="majorHAnsi" w:cstheme="majorHAnsi"/>
          <w:sz w:val="20"/>
          <w:szCs w:val="20"/>
        </w:rPr>
        <w:t>Die MECHTECH GmbH ist ein mittelständischer Präzisionsfertiger mit Schwerpunkt auf Komponenten für E-Antriebe. Am Standort Göppingen (Baden-Württemberg) werden hochgenaue CNC-Komponenten gefertigt und Entwicklungsleistungen für Prototypen sowie Kleinserien erbracht. Der Betrieb ist auf hohe Wiederholgenauigkeit, stabile Prozessketten und termintreue Auslieferung ausgelegt.</w:t>
      </w:r>
    </w:p>
    <w:p w14:paraId="0E4034CD" w14:textId="77777777" w:rsidR="00AA3308" w:rsidRPr="00AA3308" w:rsidRDefault="00AA3308" w:rsidP="00AA3308">
      <w:pPr>
        <w:rPr>
          <w:rFonts w:asciiTheme="majorHAnsi" w:hAnsiTheme="majorHAnsi" w:cstheme="majorHAnsi"/>
          <w:b/>
          <w:sz w:val="20"/>
          <w:szCs w:val="20"/>
        </w:rPr>
      </w:pPr>
      <w:r w:rsidRPr="00AA3308">
        <w:rPr>
          <w:rFonts w:asciiTheme="majorHAnsi" w:hAnsiTheme="majorHAnsi" w:cstheme="majorHAnsi"/>
          <w:b/>
          <w:sz w:val="20"/>
          <w:szCs w:val="20"/>
        </w:rPr>
        <w:t>Produkte &amp; Leistungen</w:t>
      </w:r>
    </w:p>
    <w:p w14:paraId="503646E2" w14:textId="77777777" w:rsidR="00AA3308" w:rsidRPr="00AA3308" w:rsidRDefault="00AA3308" w:rsidP="00AA3308">
      <w:pPr>
        <w:pStyle w:val="Listenabsatz"/>
        <w:numPr>
          <w:ilvl w:val="0"/>
          <w:numId w:val="3"/>
        </w:numPr>
        <w:rPr>
          <w:rFonts w:asciiTheme="majorHAnsi" w:hAnsiTheme="majorHAnsi" w:cstheme="majorHAnsi"/>
          <w:sz w:val="20"/>
          <w:szCs w:val="20"/>
        </w:rPr>
      </w:pPr>
      <w:r w:rsidRPr="00AA3308">
        <w:rPr>
          <w:rFonts w:asciiTheme="majorHAnsi" w:hAnsiTheme="majorHAnsi" w:cstheme="majorHAnsi"/>
          <w:sz w:val="20"/>
          <w:szCs w:val="20"/>
        </w:rPr>
        <w:t>Präzisions-Getriebeteile für E-Antriebe</w:t>
      </w:r>
    </w:p>
    <w:p w14:paraId="4D4A1E99" w14:textId="77777777" w:rsidR="00AA3308" w:rsidRPr="00AA3308" w:rsidRDefault="00AA3308" w:rsidP="00AA3308">
      <w:pPr>
        <w:pStyle w:val="Listenabsatz"/>
        <w:numPr>
          <w:ilvl w:val="0"/>
          <w:numId w:val="3"/>
        </w:numPr>
        <w:rPr>
          <w:rFonts w:asciiTheme="majorHAnsi" w:hAnsiTheme="majorHAnsi" w:cstheme="majorHAnsi"/>
          <w:sz w:val="20"/>
          <w:szCs w:val="20"/>
        </w:rPr>
      </w:pPr>
      <w:r w:rsidRPr="00AA3308">
        <w:rPr>
          <w:rFonts w:asciiTheme="majorHAnsi" w:hAnsiTheme="majorHAnsi" w:cstheme="majorHAnsi"/>
          <w:sz w:val="20"/>
          <w:szCs w:val="20"/>
        </w:rPr>
        <w:t>CNC-gefräste Komponenten (Toleranzen &lt; 10 µm)</w:t>
      </w:r>
    </w:p>
    <w:p w14:paraId="2F84ACE6" w14:textId="77777777" w:rsidR="00AA3308" w:rsidRPr="00AA3308" w:rsidRDefault="00AA3308" w:rsidP="00AA3308">
      <w:pPr>
        <w:pStyle w:val="Listenabsatz"/>
        <w:numPr>
          <w:ilvl w:val="0"/>
          <w:numId w:val="3"/>
        </w:numPr>
        <w:rPr>
          <w:rFonts w:asciiTheme="majorHAnsi" w:hAnsiTheme="majorHAnsi" w:cstheme="majorHAnsi"/>
          <w:sz w:val="20"/>
          <w:szCs w:val="20"/>
        </w:rPr>
      </w:pPr>
      <w:proofErr w:type="spellStart"/>
      <w:r w:rsidRPr="00AA3308">
        <w:rPr>
          <w:rFonts w:asciiTheme="majorHAnsi" w:hAnsiTheme="majorHAnsi" w:cstheme="majorHAnsi"/>
          <w:sz w:val="20"/>
          <w:szCs w:val="20"/>
        </w:rPr>
        <w:t>Prototyping</w:t>
      </w:r>
      <w:proofErr w:type="spellEnd"/>
      <w:r w:rsidRPr="00AA3308">
        <w:rPr>
          <w:rFonts w:asciiTheme="majorHAnsi" w:hAnsiTheme="majorHAnsi" w:cstheme="majorHAnsi"/>
          <w:sz w:val="20"/>
          <w:szCs w:val="20"/>
        </w:rPr>
        <w:t xml:space="preserve"> und Kleinserien für OEMs</w:t>
      </w:r>
    </w:p>
    <w:p w14:paraId="0FE9BAD1" w14:textId="77777777" w:rsidR="00AA3308" w:rsidRPr="00AA3308" w:rsidRDefault="00AA3308" w:rsidP="00AA3308">
      <w:pPr>
        <w:pStyle w:val="Listenabsatz"/>
        <w:numPr>
          <w:ilvl w:val="0"/>
          <w:numId w:val="3"/>
        </w:numPr>
        <w:rPr>
          <w:rFonts w:asciiTheme="majorHAnsi" w:hAnsiTheme="majorHAnsi" w:cstheme="majorHAnsi"/>
          <w:sz w:val="20"/>
          <w:szCs w:val="20"/>
        </w:rPr>
      </w:pPr>
      <w:r w:rsidRPr="00AA3308">
        <w:rPr>
          <w:rFonts w:asciiTheme="majorHAnsi" w:hAnsiTheme="majorHAnsi" w:cstheme="majorHAnsi"/>
          <w:sz w:val="20"/>
          <w:szCs w:val="20"/>
        </w:rPr>
        <w:t>Zerspanungstechnik: 5-Achs-Fräsen und Drehen</w:t>
      </w:r>
    </w:p>
    <w:p w14:paraId="14B08D70" w14:textId="77777777" w:rsidR="00AA3308" w:rsidRPr="00AA3308" w:rsidRDefault="00AA3308" w:rsidP="00AA3308">
      <w:pPr>
        <w:rPr>
          <w:rFonts w:asciiTheme="majorHAnsi" w:hAnsiTheme="majorHAnsi" w:cstheme="majorHAnsi"/>
          <w:b/>
          <w:sz w:val="20"/>
          <w:szCs w:val="20"/>
        </w:rPr>
      </w:pPr>
      <w:r w:rsidRPr="00AA3308">
        <w:rPr>
          <w:rFonts w:asciiTheme="majorHAnsi" w:hAnsiTheme="majorHAnsi" w:cstheme="majorHAnsi"/>
          <w:b/>
          <w:sz w:val="20"/>
          <w:szCs w:val="20"/>
        </w:rPr>
        <w:t>Standort &amp; Organisation</w:t>
      </w:r>
    </w:p>
    <w:p w14:paraId="542ECD4A" w14:textId="77777777" w:rsidR="00AA3308" w:rsidRPr="00AA3308" w:rsidRDefault="00AA3308" w:rsidP="00AA3308">
      <w:pPr>
        <w:pStyle w:val="Listenabsatz"/>
        <w:numPr>
          <w:ilvl w:val="0"/>
          <w:numId w:val="4"/>
        </w:numPr>
        <w:rPr>
          <w:rFonts w:asciiTheme="majorHAnsi" w:hAnsiTheme="majorHAnsi" w:cstheme="majorHAnsi"/>
          <w:sz w:val="20"/>
          <w:szCs w:val="20"/>
        </w:rPr>
      </w:pPr>
      <w:r w:rsidRPr="00AA3308">
        <w:rPr>
          <w:rFonts w:asciiTheme="majorHAnsi" w:hAnsiTheme="majorHAnsi" w:cstheme="majorHAnsi"/>
          <w:sz w:val="20"/>
          <w:szCs w:val="20"/>
        </w:rPr>
        <w:t>Hauptsitz/Produktion: Göppingen, 1 Halle (3.500 m²)</w:t>
      </w:r>
    </w:p>
    <w:p w14:paraId="2286744A" w14:textId="77777777" w:rsidR="00AA3308" w:rsidRPr="00AA3308" w:rsidRDefault="00AA3308" w:rsidP="00AA3308">
      <w:pPr>
        <w:pStyle w:val="Listenabsatz"/>
        <w:numPr>
          <w:ilvl w:val="0"/>
          <w:numId w:val="4"/>
        </w:numPr>
        <w:rPr>
          <w:rFonts w:asciiTheme="majorHAnsi" w:hAnsiTheme="majorHAnsi" w:cstheme="majorHAnsi"/>
          <w:sz w:val="20"/>
          <w:szCs w:val="20"/>
        </w:rPr>
      </w:pPr>
      <w:r w:rsidRPr="00AA3308">
        <w:rPr>
          <w:rFonts w:asciiTheme="majorHAnsi" w:hAnsiTheme="majorHAnsi" w:cstheme="majorHAnsi"/>
          <w:sz w:val="20"/>
          <w:szCs w:val="20"/>
        </w:rPr>
        <w:t>Mitarbeitende: ca. 80</w:t>
      </w:r>
    </w:p>
    <w:p w14:paraId="1B27FDA6" w14:textId="77777777" w:rsidR="00AA3308" w:rsidRPr="00AA3308" w:rsidRDefault="00AA3308" w:rsidP="00AA3308">
      <w:pPr>
        <w:pStyle w:val="Listenabsatz"/>
        <w:numPr>
          <w:ilvl w:val="1"/>
          <w:numId w:val="4"/>
        </w:numPr>
        <w:rPr>
          <w:rFonts w:asciiTheme="majorHAnsi" w:hAnsiTheme="majorHAnsi" w:cstheme="majorHAnsi"/>
          <w:sz w:val="20"/>
          <w:szCs w:val="20"/>
        </w:rPr>
      </w:pPr>
      <w:r w:rsidRPr="00AA3308">
        <w:rPr>
          <w:rFonts w:asciiTheme="majorHAnsi" w:hAnsiTheme="majorHAnsi" w:cstheme="majorHAnsi"/>
          <w:sz w:val="20"/>
          <w:szCs w:val="20"/>
        </w:rPr>
        <w:t>Produktion: 50 (Facharbeiter, Meister, Qualität)</w:t>
      </w:r>
    </w:p>
    <w:p w14:paraId="683A76B6" w14:textId="77777777" w:rsidR="00AA3308" w:rsidRPr="00AA3308" w:rsidRDefault="00AA3308" w:rsidP="00AA3308">
      <w:pPr>
        <w:pStyle w:val="Listenabsatz"/>
        <w:numPr>
          <w:ilvl w:val="1"/>
          <w:numId w:val="4"/>
        </w:numPr>
        <w:rPr>
          <w:rFonts w:asciiTheme="majorHAnsi" w:hAnsiTheme="majorHAnsi" w:cstheme="majorHAnsi"/>
          <w:sz w:val="20"/>
          <w:szCs w:val="20"/>
        </w:rPr>
      </w:pPr>
      <w:r w:rsidRPr="00AA3308">
        <w:rPr>
          <w:rFonts w:asciiTheme="majorHAnsi" w:hAnsiTheme="majorHAnsi" w:cstheme="majorHAnsi"/>
          <w:sz w:val="20"/>
          <w:szCs w:val="20"/>
        </w:rPr>
        <w:t>Verwaltung: 20 (Vertrieb, Einkauf, Buchhaltung)</w:t>
      </w:r>
    </w:p>
    <w:p w14:paraId="25E900CE" w14:textId="77777777" w:rsidR="00AA3308" w:rsidRPr="00AA3308" w:rsidRDefault="00AA3308" w:rsidP="00AA3308">
      <w:pPr>
        <w:pStyle w:val="Listenabsatz"/>
        <w:numPr>
          <w:ilvl w:val="1"/>
          <w:numId w:val="4"/>
        </w:numPr>
        <w:rPr>
          <w:rFonts w:asciiTheme="majorHAnsi" w:hAnsiTheme="majorHAnsi" w:cstheme="majorHAnsi"/>
          <w:sz w:val="20"/>
          <w:szCs w:val="20"/>
        </w:rPr>
      </w:pPr>
      <w:r w:rsidRPr="00AA3308">
        <w:rPr>
          <w:rFonts w:asciiTheme="majorHAnsi" w:hAnsiTheme="majorHAnsi" w:cstheme="majorHAnsi"/>
          <w:sz w:val="20"/>
          <w:szCs w:val="20"/>
        </w:rPr>
        <w:t>Konstruktion/Entwicklung: 8 (CAD, Prozessplanung)</w:t>
      </w:r>
    </w:p>
    <w:p w14:paraId="3E808B15" w14:textId="77777777" w:rsidR="00AA3308" w:rsidRPr="00AA3308" w:rsidRDefault="00AA3308" w:rsidP="00AA3308">
      <w:pPr>
        <w:pStyle w:val="Listenabsatz"/>
        <w:numPr>
          <w:ilvl w:val="1"/>
          <w:numId w:val="4"/>
        </w:numPr>
        <w:rPr>
          <w:rFonts w:asciiTheme="majorHAnsi" w:hAnsiTheme="majorHAnsi" w:cstheme="majorHAnsi"/>
          <w:sz w:val="20"/>
          <w:szCs w:val="20"/>
        </w:rPr>
      </w:pPr>
      <w:r w:rsidRPr="00AA3308">
        <w:rPr>
          <w:rFonts w:asciiTheme="majorHAnsi" w:hAnsiTheme="majorHAnsi" w:cstheme="majorHAnsi"/>
          <w:sz w:val="20"/>
          <w:szCs w:val="20"/>
        </w:rPr>
        <w:t>IT: 2 Admins (1 Vollzeit, 1 Teilzeit)</w:t>
      </w:r>
    </w:p>
    <w:p w14:paraId="6464812A" w14:textId="77777777" w:rsidR="00AA3308" w:rsidRPr="00AA3308" w:rsidRDefault="00AA3308" w:rsidP="00AA3308">
      <w:pPr>
        <w:rPr>
          <w:rFonts w:asciiTheme="majorHAnsi" w:hAnsiTheme="majorHAnsi" w:cstheme="majorHAnsi"/>
          <w:b/>
          <w:sz w:val="20"/>
          <w:szCs w:val="20"/>
        </w:rPr>
      </w:pPr>
      <w:r w:rsidRPr="00AA3308">
        <w:rPr>
          <w:rFonts w:asciiTheme="majorHAnsi" w:hAnsiTheme="majorHAnsi" w:cstheme="majorHAnsi"/>
          <w:b/>
          <w:sz w:val="20"/>
          <w:szCs w:val="20"/>
        </w:rPr>
        <w:t>Wirtschaftliche Eckdaten</w:t>
      </w:r>
    </w:p>
    <w:p w14:paraId="7EBC0E9B" w14:textId="77777777" w:rsidR="00AA3308" w:rsidRPr="00AA3308" w:rsidRDefault="00AA3308" w:rsidP="00AA3308">
      <w:pPr>
        <w:pStyle w:val="Listenabsatz"/>
        <w:numPr>
          <w:ilvl w:val="0"/>
          <w:numId w:val="5"/>
        </w:numPr>
        <w:rPr>
          <w:rFonts w:asciiTheme="majorHAnsi" w:hAnsiTheme="majorHAnsi" w:cstheme="majorHAnsi"/>
          <w:sz w:val="20"/>
          <w:szCs w:val="20"/>
        </w:rPr>
      </w:pPr>
      <w:r w:rsidRPr="00AA3308">
        <w:rPr>
          <w:rFonts w:asciiTheme="majorHAnsi" w:hAnsiTheme="majorHAnsi" w:cstheme="majorHAnsi"/>
          <w:sz w:val="20"/>
          <w:szCs w:val="20"/>
        </w:rPr>
        <w:t>Umsatz: ca. 15 Mio. EUR p. a.</w:t>
      </w:r>
    </w:p>
    <w:p w14:paraId="0F895529" w14:textId="77777777" w:rsidR="00AA3308" w:rsidRPr="00AA3308" w:rsidRDefault="00AA3308" w:rsidP="00AA3308">
      <w:pPr>
        <w:pStyle w:val="Listenabsatz"/>
        <w:numPr>
          <w:ilvl w:val="0"/>
          <w:numId w:val="5"/>
        </w:numPr>
        <w:rPr>
          <w:rFonts w:asciiTheme="majorHAnsi" w:hAnsiTheme="majorHAnsi" w:cstheme="majorHAnsi"/>
          <w:sz w:val="20"/>
          <w:szCs w:val="20"/>
        </w:rPr>
      </w:pPr>
      <w:r w:rsidRPr="00AA3308">
        <w:rPr>
          <w:rFonts w:asciiTheme="majorHAnsi" w:hAnsiTheme="majorHAnsi" w:cstheme="majorHAnsi"/>
          <w:sz w:val="20"/>
          <w:szCs w:val="20"/>
        </w:rPr>
        <w:t>Kundenstruktur: 1 deutscher Premium-OEM als Hauptkunde (ca. 60 % Umsatz)</w:t>
      </w:r>
    </w:p>
    <w:p w14:paraId="2294BB52" w14:textId="77777777" w:rsidR="00AA3308" w:rsidRPr="00AA3308" w:rsidRDefault="00AA3308" w:rsidP="00AA3308">
      <w:pPr>
        <w:pStyle w:val="Listenabsatz"/>
        <w:numPr>
          <w:ilvl w:val="0"/>
          <w:numId w:val="5"/>
        </w:numPr>
        <w:rPr>
          <w:rFonts w:asciiTheme="majorHAnsi" w:hAnsiTheme="majorHAnsi" w:cstheme="majorHAnsi"/>
          <w:sz w:val="20"/>
          <w:szCs w:val="20"/>
        </w:rPr>
      </w:pPr>
      <w:r w:rsidRPr="00AA3308">
        <w:rPr>
          <w:rFonts w:asciiTheme="majorHAnsi" w:hAnsiTheme="majorHAnsi" w:cstheme="majorHAnsi"/>
          <w:sz w:val="20"/>
          <w:szCs w:val="20"/>
        </w:rPr>
        <w:t>Weitere Kunden: ca. 25 (Tier-1-Zulieferer, Maschinenbau)</w:t>
      </w:r>
    </w:p>
    <w:p w14:paraId="3EE2FFD2" w14:textId="77777777" w:rsidR="00AA3308" w:rsidRPr="00AA3308" w:rsidRDefault="00AA3308" w:rsidP="00AA3308">
      <w:pPr>
        <w:pStyle w:val="Listenabsatz"/>
        <w:numPr>
          <w:ilvl w:val="0"/>
          <w:numId w:val="5"/>
        </w:numPr>
        <w:rPr>
          <w:rFonts w:asciiTheme="majorHAnsi" w:hAnsiTheme="majorHAnsi" w:cstheme="majorHAnsi"/>
          <w:sz w:val="20"/>
          <w:szCs w:val="20"/>
        </w:rPr>
      </w:pPr>
      <w:r w:rsidRPr="00AA3308">
        <w:rPr>
          <w:rFonts w:asciiTheme="majorHAnsi" w:hAnsiTheme="majorHAnsi" w:cstheme="majorHAnsi"/>
          <w:sz w:val="20"/>
          <w:szCs w:val="20"/>
        </w:rPr>
        <w:t>Wachstum: ca. +12 % p. a. (getrieben durch E-Mobility-</w:t>
      </w:r>
      <w:proofErr w:type="gramStart"/>
      <w:r w:rsidRPr="00AA3308">
        <w:rPr>
          <w:rFonts w:asciiTheme="majorHAnsi" w:hAnsiTheme="majorHAnsi" w:cstheme="majorHAnsi"/>
          <w:sz w:val="20"/>
          <w:szCs w:val="20"/>
        </w:rPr>
        <w:t>Nachfrage)</w:t>
      </w:r>
      <w:proofErr w:type="spellStart"/>
      <w:r w:rsidRPr="00AA3308">
        <w:rPr>
          <w:rFonts w:asciiTheme="majorHAnsi" w:hAnsiTheme="majorHAnsi" w:cstheme="majorHAnsi"/>
          <w:sz w:val="20"/>
          <w:szCs w:val="20"/>
        </w:rPr>
      </w:r>
      <w:proofErr w:type="spellEnd"/>
      <w:proofErr w:type="gramEnd"/>
      <w:r w:rsidRPr="00AA3308">
        <w:rPr>
          <w:rFonts w:asciiTheme="majorHAnsi" w:hAnsiTheme="majorHAnsi" w:cstheme="majorHAnsi"/>
          <w:sz w:val="20"/>
          <w:szCs w:val="20"/>
        </w:rPr>
      </w:r>
    </w:p>
    <w:p w14:paraId="257CFC9F" w14:textId="77777777" w:rsidR="00AA3308" w:rsidRPr="00AA3308" w:rsidRDefault="00AA3308" w:rsidP="00AA3308">
      <w:pPr>
        <w:rPr>
          <w:rFonts w:asciiTheme="majorHAnsi" w:hAnsiTheme="majorHAnsi" w:cstheme="majorHAnsi"/>
          <w:b/>
          <w:sz w:val="20"/>
          <w:szCs w:val="20"/>
        </w:rPr>
      </w:pPr>
      <w:r w:rsidRPr="00AA3308">
        <w:rPr>
          <w:rFonts w:asciiTheme="majorHAnsi" w:hAnsiTheme="majorHAnsi" w:cstheme="majorHAnsi"/>
          <w:b/>
          <w:sz w:val="20"/>
          <w:szCs w:val="20"/>
        </w:rPr>
        <w:t>Produktion &amp; Betrieb</w:t>
      </w:r>
    </w:p>
    <w:p w14:paraId="46F437BA" w14:textId="77777777" w:rsidR="00AA3308" w:rsidRPr="00AA3308" w:rsidRDefault="00AA3308" w:rsidP="00AA3308">
      <w:pPr>
        <w:pStyle w:val="Listenabsatz"/>
        <w:numPr>
          <w:ilvl w:val="0"/>
          <w:numId w:val="6"/>
        </w:numPr>
        <w:rPr>
          <w:rFonts w:asciiTheme="majorHAnsi" w:hAnsiTheme="majorHAnsi" w:cstheme="majorHAnsi"/>
          <w:sz w:val="20"/>
          <w:szCs w:val="20"/>
        </w:rPr>
      </w:pPr>
      <w:r w:rsidRPr="00AA3308">
        <w:rPr>
          <w:rFonts w:asciiTheme="majorHAnsi" w:hAnsiTheme="majorHAnsi" w:cstheme="majorHAnsi"/>
          <w:sz w:val="20"/>
          <w:szCs w:val="20"/>
        </w:rPr>
        <w:t>Betriebsmodell: 24/5 (Mo. bis Fr., 3 Schichten)</w:t>
      </w:r>
    </w:p>
    <w:p w14:paraId="220ABDDA" w14:textId="77777777" w:rsidR="00AA3308" w:rsidRPr="00AA3308" w:rsidRDefault="00AA3308" w:rsidP="00AA3308">
      <w:pPr>
        <w:pStyle w:val="Listenabsatz"/>
        <w:numPr>
          <w:ilvl w:val="0"/>
          <w:numId w:val="6"/>
        </w:numPr>
        <w:rPr>
          <w:rFonts w:asciiTheme="majorHAnsi" w:hAnsiTheme="majorHAnsi" w:cstheme="majorHAnsi"/>
          <w:sz w:val="20"/>
          <w:szCs w:val="20"/>
        </w:rPr>
      </w:pPr>
      <w:r w:rsidRPr="00AA3308">
        <w:rPr>
          <w:rFonts w:asciiTheme="majorHAnsi" w:hAnsiTheme="majorHAnsi" w:cstheme="majorHAnsi"/>
          <w:sz w:val="20"/>
          <w:szCs w:val="20"/>
        </w:rPr>
        <w:t>Anlagenpark: 12 CNC-Maschinen, 3 Fertigungslinien</w:t>
      </w:r>
    </w:p>
    <w:p w14:paraId="11222186" w14:textId="77777777" w:rsidR="00AA3308" w:rsidRPr="00AA3308" w:rsidRDefault="00AA3308" w:rsidP="00AA3308">
      <w:pPr>
        <w:pStyle w:val="Listenabsatz"/>
        <w:numPr>
          <w:ilvl w:val="0"/>
          <w:numId w:val="6"/>
        </w:numPr>
        <w:rPr>
          <w:rFonts w:asciiTheme="majorHAnsi" w:hAnsiTheme="majorHAnsi" w:cstheme="majorHAnsi"/>
          <w:sz w:val="20"/>
          <w:szCs w:val="20"/>
        </w:rPr>
      </w:pPr>
      <w:r w:rsidRPr="00AA3308">
        <w:rPr>
          <w:rFonts w:asciiTheme="majorHAnsi" w:hAnsiTheme="majorHAnsi" w:cstheme="majorHAnsi"/>
          <w:sz w:val="20"/>
          <w:szCs w:val="20"/>
        </w:rPr>
        <w:t xml:space="preserve">Produktionssteuerung: MES Siemens </w:t>
      </w:r>
      <w:proofErr w:type="spellStart"/>
      <w:r w:rsidRPr="00AA3308">
        <w:rPr>
          <w:rFonts w:asciiTheme="majorHAnsi" w:hAnsiTheme="majorHAnsi" w:cstheme="majorHAnsi"/>
          <w:sz w:val="20"/>
          <w:szCs w:val="20"/>
        </w:rPr>
        <w:t>Opcenter</w:t>
      </w:r>
      <w:proofErr w:type="spellEnd"/>
      <w:r w:rsidRPr="00AA3308">
        <w:rPr>
          <w:rFonts w:asciiTheme="majorHAnsi" w:hAnsiTheme="majorHAnsi" w:cstheme="majorHAnsi"/>
          <w:sz w:val="20"/>
          <w:szCs w:val="20"/>
        </w:rPr>
        <w:t>; SCADA/HMI zur Visualisierung</w:t>
      </w:r>
    </w:p>
    <w:p w14:paraId="656CD689" w14:textId="77777777" w:rsidR="00AA3308" w:rsidRPr="00AA3308" w:rsidRDefault="00AA3308" w:rsidP="00AA3308">
      <w:pPr>
        <w:pStyle w:val="Listenabsatz"/>
        <w:numPr>
          <w:ilvl w:val="0"/>
          <w:numId w:val="6"/>
        </w:numPr>
        <w:rPr>
          <w:rFonts w:asciiTheme="majorHAnsi" w:hAnsiTheme="majorHAnsi" w:cstheme="majorHAnsi"/>
          <w:sz w:val="20"/>
          <w:szCs w:val="20"/>
        </w:rPr>
      </w:pPr>
      <w:r w:rsidRPr="00AA3308">
        <w:rPr>
          <w:rFonts w:asciiTheme="majorHAnsi" w:hAnsiTheme="majorHAnsi" w:cstheme="majorHAnsi"/>
          <w:sz w:val="20"/>
          <w:szCs w:val="20"/>
        </w:rPr>
        <w:t>CNC-Steuerungen u. a.: Siemens Sinumerik, Heidenhain</w:t>
      </w:r>
    </w:p>
    <w:p w14:paraId="1B6F4334" w14:textId="77777777" w:rsidR="00AA3308" w:rsidRPr="00AA3308" w:rsidRDefault="00AA3308" w:rsidP="00AA3308">
      <w:pPr>
        <w:pStyle w:val="Listenabsatz"/>
        <w:numPr>
          <w:ilvl w:val="0"/>
          <w:numId w:val="6"/>
        </w:numPr>
        <w:rPr>
          <w:rFonts w:asciiTheme="majorHAnsi" w:hAnsiTheme="majorHAnsi" w:cstheme="majorHAnsi"/>
          <w:sz w:val="20"/>
          <w:szCs w:val="20"/>
        </w:rPr>
      </w:pPr>
      <w:r w:rsidRPr="00AA3308">
        <w:rPr>
          <w:rFonts w:asciiTheme="majorHAnsi" w:hAnsiTheme="majorHAnsi" w:cstheme="majorHAnsi"/>
          <w:sz w:val="20"/>
          <w:szCs w:val="20"/>
        </w:rPr>
        <w:t>Liefermodell: Just-in-Time an OEM, Liefertermintreue &gt; 98 %</w:t>
      </w:r>
    </w:p>
    <w:p w14:paraId="1671D7EB" w14:textId="77777777" w:rsidR="00AA3308" w:rsidRPr="00AA3308" w:rsidRDefault="00AA3308" w:rsidP="00AA3308">
      <w:pPr>
        <w:pStyle w:val="Listenabsatz"/>
        <w:numPr>
          <w:ilvl w:val="0"/>
          <w:numId w:val="6"/>
        </w:numPr>
        <w:rPr>
          <w:rFonts w:asciiTheme="majorHAnsi" w:hAnsiTheme="majorHAnsi" w:cstheme="majorHAnsi"/>
          <w:sz w:val="20"/>
          <w:szCs w:val="20"/>
        </w:rPr>
      </w:pPr>
      <w:r w:rsidRPr="00AA3308">
        <w:rPr>
          <w:rFonts w:asciiTheme="majorHAnsi" w:hAnsiTheme="majorHAnsi" w:cstheme="majorHAnsi"/>
          <w:sz w:val="20"/>
          <w:szCs w:val="20"/>
        </w:rPr>
        <w:t xml:space="preserve">Operative Prämisse: Unterbrechungen &gt; 4 Stunden wirken sich unmittelbar auf Auslieferungen aus und sind in Vertragskontexten </w:t>
      </w:r>
      <w:proofErr w:type="spellStart"/>
      <w:r w:rsidRPr="00AA3308">
        <w:rPr>
          <w:rFonts w:asciiTheme="majorHAnsi" w:hAnsiTheme="majorHAnsi" w:cstheme="majorHAnsi"/>
          <w:sz w:val="20"/>
          <w:szCs w:val="20"/>
        </w:rPr>
        <w:t>relevant</w:t>
      </w:r>
      <w:proofErr w:type="spellEnd"/>
      <w:r w:rsidRPr="00AA3308">
        <w:rPr>
          <w:rFonts w:asciiTheme="majorHAnsi" w:hAnsiTheme="majorHAnsi" w:cstheme="majorHAnsi"/>
          <w:sz w:val="20"/>
          <w:szCs w:val="20"/>
        </w:rPr>
      </w:r>
    </w:p>
    <w:p w14:paraId="14E52F61" w14:textId="77777777" w:rsidR="00AA3308" w:rsidRDefault="00AA3308">
      <w:pPr>
        <w:rPr>
          <w:rFonts w:asciiTheme="majorHAnsi" w:hAnsiTheme="majorHAnsi" w:cstheme="majorHAnsi"/>
          <w:b/>
          <w:sz w:val="20"/>
          <w:szCs w:val="20"/>
        </w:rPr>
      </w:pPr>
      <w:r>
        <w:rPr>
          <w:rFonts w:asciiTheme="majorHAnsi" w:hAnsiTheme="majorHAnsi" w:cstheme="majorHAnsi"/>
          <w:b/>
          <w:sz w:val="20"/>
          <w:szCs w:val="20"/>
        </w:rPr>
        <w:br w:type="page"/>
      </w:r>
    </w:p>
    <w:p w14:paraId="2875046D" w14:textId="503B7ADC" w:rsidR="00AA3308" w:rsidRPr="00AA3308" w:rsidRDefault="00AA3308" w:rsidP="00AA3308">
      <w:pPr>
        <w:rPr>
          <w:rFonts w:asciiTheme="majorHAnsi" w:hAnsiTheme="majorHAnsi" w:cstheme="majorHAnsi"/>
          <w:b/>
          <w:sz w:val="20"/>
          <w:szCs w:val="20"/>
        </w:rPr>
      </w:pPr>
      <w:r w:rsidRPr="00AA3308">
        <w:rPr>
          <w:rFonts w:asciiTheme="majorHAnsi" w:hAnsiTheme="majorHAnsi" w:cstheme="majorHAnsi"/>
          <w:b/>
          <w:sz w:val="20"/>
          <w:szCs w:val="20"/>
        </w:rPr>
        <w:lastRenderedPageBreak/>
        <w:t>IT-/OT-Landschaft</w:t>
      </w:r>
    </w:p>
    <w:p w14:paraId="2C3789F6" w14:textId="77777777" w:rsidR="00AA3308" w:rsidRPr="00AA3308" w:rsidRDefault="00AA3308" w:rsidP="00AA3308">
      <w:pPr>
        <w:rPr>
          <w:rStyle w:val="Hervorhebung"/>
          <w:rFonts w:asciiTheme="majorHAnsi" w:hAnsiTheme="majorHAnsi" w:cstheme="majorHAnsi"/>
          <w:i w:val="0"/>
          <w:iCs w:val="0"/>
          <w:sz w:val="20"/>
          <w:szCs w:val="20"/>
        </w:rPr>
      </w:pPr>
      <w:r w:rsidRPr="00AA3308">
        <w:rPr>
          <w:rStyle w:val="Hervorhebung"/>
          <w:rFonts w:asciiTheme="majorHAnsi" w:hAnsiTheme="majorHAnsi" w:cstheme="majorHAnsi"/>
          <w:i w:val="0"/>
          <w:iCs w:val="0"/>
          <w:sz w:val="20"/>
          <w:szCs w:val="20"/>
        </w:rPr>
        <w:t>Office / Engineering</w:t>
      </w:r>
    </w:p>
    <w:p w14:paraId="69B47D54" w14:textId="77777777" w:rsidR="00AA3308" w:rsidRPr="00AA3308" w:rsidRDefault="00AA3308" w:rsidP="00AA3308">
      <w:pPr>
        <w:pStyle w:val="Listenabsatz"/>
        <w:numPr>
          <w:ilvl w:val="0"/>
          <w:numId w:val="7"/>
        </w:numPr>
        <w:rPr>
          <w:rFonts w:asciiTheme="majorHAnsi" w:hAnsiTheme="majorHAnsi" w:cstheme="majorHAnsi"/>
          <w:sz w:val="20"/>
          <w:szCs w:val="20"/>
        </w:rPr>
      </w:pPr>
      <w:r w:rsidRPr="00AA3308">
        <w:rPr>
          <w:rFonts w:asciiTheme="majorHAnsi" w:hAnsiTheme="majorHAnsi" w:cstheme="majorHAnsi"/>
          <w:sz w:val="20"/>
          <w:szCs w:val="20"/>
        </w:rPr>
        <w:t>Windows Server 2019 (Active Directory)</w:t>
      </w:r>
    </w:p>
    <w:p w14:paraId="4C38ECFC" w14:textId="77777777" w:rsidR="00AA3308" w:rsidRPr="00AA3308" w:rsidRDefault="00AA3308" w:rsidP="00AA3308">
      <w:pPr>
        <w:pStyle w:val="Listenabsatz"/>
        <w:numPr>
          <w:ilvl w:val="0"/>
          <w:numId w:val="7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AA3308">
        <w:rPr>
          <w:rFonts w:asciiTheme="majorHAnsi" w:hAnsiTheme="majorHAnsi" w:cstheme="majorHAnsi"/>
          <w:sz w:val="20"/>
          <w:szCs w:val="20"/>
          <w:lang w:val="en-US"/>
        </w:rPr>
        <w:t>ca. 30 Windows-PCs (Office, SharePoint, E-Mail)</w:t>
      </w:r>
    </w:p>
    <w:p w14:paraId="3EE867D9" w14:textId="77777777" w:rsidR="00AA3308" w:rsidRPr="00AA3308" w:rsidRDefault="00AA3308" w:rsidP="00AA3308">
      <w:pPr>
        <w:pStyle w:val="Listenabsatz"/>
        <w:numPr>
          <w:ilvl w:val="0"/>
          <w:numId w:val="7"/>
        </w:numPr>
        <w:rPr>
          <w:rFonts w:asciiTheme="majorHAnsi" w:hAnsiTheme="majorHAnsi" w:cstheme="majorHAnsi"/>
          <w:sz w:val="20"/>
          <w:szCs w:val="20"/>
        </w:rPr>
      </w:pPr>
      <w:r w:rsidRPr="00AA3308">
        <w:rPr>
          <w:rFonts w:asciiTheme="majorHAnsi" w:hAnsiTheme="majorHAnsi" w:cstheme="majorHAnsi"/>
          <w:sz w:val="20"/>
          <w:szCs w:val="20"/>
        </w:rPr>
        <w:t>CAD: Siemens NX (8 Arbeitsplätze)</w:t>
      </w:r>
    </w:p>
    <w:p w14:paraId="74E4C3AD" w14:textId="77777777" w:rsidR="00AA3308" w:rsidRPr="00AA3308" w:rsidRDefault="00AA3308" w:rsidP="00AA3308">
      <w:pPr>
        <w:pStyle w:val="Listenabsatz"/>
        <w:numPr>
          <w:ilvl w:val="0"/>
          <w:numId w:val="7"/>
        </w:numPr>
        <w:rPr>
          <w:rFonts w:asciiTheme="majorHAnsi" w:hAnsiTheme="majorHAnsi" w:cstheme="majorHAnsi"/>
          <w:sz w:val="20"/>
          <w:szCs w:val="20"/>
        </w:rPr>
      </w:pPr>
      <w:r w:rsidRPr="00AA3308">
        <w:rPr>
          <w:rFonts w:asciiTheme="majorHAnsi" w:hAnsiTheme="majorHAnsi" w:cstheme="majorHAnsi"/>
          <w:sz w:val="20"/>
          <w:szCs w:val="20"/>
        </w:rPr>
        <w:t xml:space="preserve">File-Server (Konstruktionsdaten, </w:t>
      </w:r>
      <w:proofErr w:type="gramStart"/>
      <w:r w:rsidRPr="00AA3308">
        <w:rPr>
          <w:rFonts w:asciiTheme="majorHAnsi" w:hAnsiTheme="majorHAnsi" w:cstheme="majorHAnsi"/>
          <w:sz w:val="20"/>
          <w:szCs w:val="20"/>
        </w:rPr>
        <w:t>Dokumente)</w:t>
      </w:r>
      <w:proofErr w:type="spellStart"/>
      <w:r w:rsidRPr="00AA3308">
        <w:rPr>
          <w:rFonts w:asciiTheme="majorHAnsi" w:hAnsiTheme="majorHAnsi" w:cstheme="majorHAnsi"/>
          <w:sz w:val="20"/>
          <w:szCs w:val="20"/>
        </w:rPr>
      </w:r>
      <w:proofErr w:type="spellEnd"/>
      <w:proofErr w:type="gramEnd"/>
      <w:r w:rsidRPr="00AA3308">
        <w:rPr>
          <w:rFonts w:asciiTheme="majorHAnsi" w:hAnsiTheme="majorHAnsi" w:cstheme="majorHAnsi"/>
          <w:sz w:val="20"/>
          <w:szCs w:val="20"/>
        </w:rPr>
      </w:r>
    </w:p>
    <w:p w14:paraId="0733A782" w14:textId="77777777" w:rsidR="00AA3308" w:rsidRPr="00AA3308" w:rsidRDefault="00AA3308" w:rsidP="00AA3308">
      <w:pPr>
        <w:rPr>
          <w:rStyle w:val="Hervorhebung"/>
          <w:rFonts w:asciiTheme="majorHAnsi" w:hAnsiTheme="majorHAnsi" w:cstheme="majorHAnsi"/>
          <w:bCs/>
          <w:i w:val="0"/>
          <w:iCs w:val="0"/>
          <w:sz w:val="20"/>
          <w:szCs w:val="20"/>
        </w:rPr>
      </w:pPr>
      <w:r w:rsidRPr="00AA3308">
        <w:rPr>
          <w:rStyle w:val="Hervorhebung"/>
          <w:rFonts w:asciiTheme="majorHAnsi" w:hAnsiTheme="majorHAnsi" w:cstheme="majorHAnsi"/>
          <w:bCs/>
          <w:i w:val="0"/>
          <w:iCs w:val="0"/>
          <w:sz w:val="20"/>
          <w:szCs w:val="20"/>
        </w:rPr>
        <w:t>OT / Produktion</w:t>
      </w:r>
    </w:p>
    <w:p w14:paraId="63ADC9D1" w14:textId="77777777" w:rsidR="00AA3308" w:rsidRPr="00AA3308" w:rsidRDefault="00AA3308" w:rsidP="00AA3308">
      <w:pPr>
        <w:pStyle w:val="Listenabsatz"/>
        <w:numPr>
          <w:ilvl w:val="0"/>
          <w:numId w:val="8"/>
        </w:numPr>
        <w:rPr>
          <w:rFonts w:asciiTheme="majorHAnsi" w:hAnsiTheme="majorHAnsi" w:cstheme="majorHAnsi"/>
          <w:sz w:val="20"/>
          <w:szCs w:val="20"/>
        </w:rPr>
      </w:pPr>
      <w:r w:rsidRPr="00AA3308">
        <w:rPr>
          <w:rFonts w:asciiTheme="majorHAnsi" w:hAnsiTheme="majorHAnsi" w:cstheme="majorHAnsi"/>
          <w:sz w:val="20"/>
          <w:szCs w:val="20"/>
        </w:rPr>
        <w:t>MES (Siemens, Windows-Server)</w:t>
      </w:r>
    </w:p>
    <w:p w14:paraId="1D243B7B" w14:textId="77777777" w:rsidR="00AA3308" w:rsidRPr="00AA3308" w:rsidRDefault="00AA3308" w:rsidP="00AA3308">
      <w:pPr>
        <w:pStyle w:val="Listenabsatz"/>
        <w:numPr>
          <w:ilvl w:val="0"/>
          <w:numId w:val="8"/>
        </w:numPr>
        <w:rPr>
          <w:rFonts w:asciiTheme="majorHAnsi" w:hAnsiTheme="majorHAnsi" w:cstheme="majorHAnsi"/>
          <w:sz w:val="20"/>
          <w:szCs w:val="20"/>
        </w:rPr>
      </w:pPr>
      <w:r w:rsidRPr="00AA3308">
        <w:rPr>
          <w:rFonts w:asciiTheme="majorHAnsi" w:hAnsiTheme="majorHAnsi" w:cstheme="majorHAnsi"/>
          <w:sz w:val="20"/>
          <w:szCs w:val="20"/>
        </w:rPr>
        <w:t>SCADA/HMI-Systeme</w:t>
      </w:r>
    </w:p>
    <w:p w14:paraId="120AAE62" w14:textId="77777777" w:rsidR="00AA3308" w:rsidRPr="00AA3308" w:rsidRDefault="00AA3308" w:rsidP="00AA3308">
      <w:pPr>
        <w:pStyle w:val="Listenabsatz"/>
        <w:numPr>
          <w:ilvl w:val="0"/>
          <w:numId w:val="8"/>
        </w:numPr>
        <w:rPr>
          <w:rFonts w:asciiTheme="majorHAnsi" w:hAnsiTheme="majorHAnsi" w:cstheme="majorHAnsi"/>
          <w:sz w:val="20"/>
          <w:szCs w:val="20"/>
        </w:rPr>
      </w:pPr>
      <w:r w:rsidRPr="00AA3308">
        <w:rPr>
          <w:rFonts w:asciiTheme="majorHAnsi" w:hAnsiTheme="majorHAnsi" w:cstheme="majorHAnsi"/>
          <w:sz w:val="20"/>
          <w:szCs w:val="20"/>
        </w:rPr>
        <w:t>12 CNC-Steuerungen (Sinumerik/Heidenhain)</w:t>
      </w:r>
    </w:p>
    <w:p w14:paraId="3ED0B121" w14:textId="77777777" w:rsidR="00AA3308" w:rsidRPr="00AA3308" w:rsidRDefault="00AA3308" w:rsidP="00AA3308">
      <w:pPr>
        <w:pStyle w:val="Listenabsatz"/>
        <w:numPr>
          <w:ilvl w:val="0"/>
          <w:numId w:val="8"/>
        </w:numPr>
        <w:rPr>
          <w:rFonts w:asciiTheme="majorHAnsi" w:hAnsiTheme="majorHAnsi" w:cstheme="majorHAnsi"/>
          <w:sz w:val="20"/>
          <w:szCs w:val="20"/>
        </w:rPr>
      </w:pPr>
      <w:r w:rsidRPr="00AA3308">
        <w:rPr>
          <w:rFonts w:asciiTheme="majorHAnsi" w:hAnsiTheme="majorHAnsi" w:cstheme="majorHAnsi"/>
          <w:sz w:val="20"/>
          <w:szCs w:val="20"/>
        </w:rPr>
        <w:t>Office-IT und OT/Produktion nutzen dasselbe LAN (kein separates OT-</w:t>
      </w:r>
      <w:proofErr w:type="gramStart"/>
      <w:r w:rsidRPr="00AA3308">
        <w:rPr>
          <w:rFonts w:asciiTheme="majorHAnsi" w:hAnsiTheme="majorHAnsi" w:cstheme="majorHAnsi"/>
          <w:sz w:val="20"/>
          <w:szCs w:val="20"/>
        </w:rPr>
        <w:t>Netz)</w:t>
      </w:r>
      <w:proofErr w:type="spellStart"/>
      <w:r w:rsidRPr="00AA3308">
        <w:rPr>
          <w:rFonts w:asciiTheme="majorHAnsi" w:hAnsiTheme="majorHAnsi" w:cstheme="majorHAnsi"/>
          <w:sz w:val="20"/>
          <w:szCs w:val="20"/>
        </w:rPr>
      </w:r>
      <w:proofErr w:type="spellEnd"/>
      <w:proofErr w:type="gramEnd"/>
      <w:r w:rsidRPr="00AA3308">
        <w:rPr>
          <w:rFonts w:asciiTheme="majorHAnsi" w:hAnsiTheme="majorHAnsi" w:cstheme="majorHAnsi"/>
          <w:sz w:val="20"/>
          <w:szCs w:val="20"/>
        </w:rPr>
      </w:r>
    </w:p>
    <w:p w14:paraId="67281C6C" w14:textId="77777777" w:rsidR="00AA3308" w:rsidRPr="00AA3308" w:rsidRDefault="00AA3308" w:rsidP="00AA3308">
      <w:pPr>
        <w:rPr>
          <w:rStyle w:val="Hervorhebung"/>
          <w:rFonts w:asciiTheme="majorHAnsi" w:hAnsiTheme="majorHAnsi" w:cstheme="majorHAnsi"/>
          <w:i w:val="0"/>
          <w:iCs w:val="0"/>
          <w:sz w:val="20"/>
          <w:szCs w:val="20"/>
        </w:rPr>
      </w:pPr>
      <w:r w:rsidRPr="00AA3308">
        <w:rPr>
          <w:rStyle w:val="Hervorhebung"/>
          <w:rFonts w:asciiTheme="majorHAnsi" w:hAnsiTheme="majorHAnsi" w:cstheme="majorHAnsi"/>
          <w:i w:val="0"/>
          <w:iCs w:val="0"/>
          <w:sz w:val="20"/>
          <w:szCs w:val="20"/>
        </w:rPr>
        <w:t>SaaS / Cloud / Externe Anwendungen</w:t>
      </w:r>
    </w:p>
    <w:p w14:paraId="08D7487C" w14:textId="77777777" w:rsidR="00AA3308" w:rsidRPr="00AA3308" w:rsidRDefault="00AA3308" w:rsidP="00AA3308">
      <w:pPr>
        <w:pStyle w:val="Listenabsatz"/>
        <w:numPr>
          <w:ilvl w:val="0"/>
          <w:numId w:val="9"/>
        </w:numPr>
        <w:rPr>
          <w:rFonts w:asciiTheme="majorHAnsi" w:hAnsiTheme="majorHAnsi" w:cstheme="majorHAnsi"/>
          <w:sz w:val="20"/>
          <w:szCs w:val="20"/>
        </w:rPr>
      </w:pPr>
      <w:r w:rsidRPr="00AA3308">
        <w:rPr>
          <w:rFonts w:asciiTheme="majorHAnsi" w:hAnsiTheme="majorHAnsi" w:cstheme="majorHAnsi"/>
          <w:sz w:val="20"/>
          <w:szCs w:val="20"/>
        </w:rPr>
        <w:t>CRM: Salesforce</w:t>
      </w:r>
    </w:p>
    <w:p w14:paraId="46046A14" w14:textId="77777777" w:rsidR="00AA3308" w:rsidRPr="00AA3308" w:rsidRDefault="00AA3308" w:rsidP="00AA3308">
      <w:pPr>
        <w:pStyle w:val="Listenabsatz"/>
        <w:numPr>
          <w:ilvl w:val="0"/>
          <w:numId w:val="9"/>
        </w:numPr>
        <w:rPr>
          <w:rFonts w:asciiTheme="majorHAnsi" w:hAnsiTheme="majorHAnsi" w:cstheme="majorHAnsi"/>
          <w:sz w:val="20"/>
          <w:szCs w:val="20"/>
        </w:rPr>
      </w:pPr>
      <w:r w:rsidRPr="00AA3308">
        <w:rPr>
          <w:rFonts w:asciiTheme="majorHAnsi" w:hAnsiTheme="majorHAnsi" w:cstheme="majorHAnsi"/>
          <w:sz w:val="20"/>
          <w:szCs w:val="20"/>
        </w:rPr>
        <w:t>Cloud-Backup: Veeam für Office-Daten (monatliche Sicherung)</w:t>
      </w:r>
    </w:p>
    <w:p w14:paraId="3266617A" w14:textId="77777777" w:rsidR="00AA3308" w:rsidRPr="00AA3308" w:rsidRDefault="00AA3308" w:rsidP="00AA3308">
      <w:pPr>
        <w:pStyle w:val="Listenabsatz"/>
        <w:numPr>
          <w:ilvl w:val="0"/>
          <w:numId w:val="9"/>
        </w:numPr>
        <w:rPr>
          <w:rFonts w:asciiTheme="majorHAnsi" w:hAnsiTheme="majorHAnsi" w:cstheme="majorHAnsi"/>
          <w:sz w:val="20"/>
          <w:szCs w:val="20"/>
        </w:rPr>
      </w:pPr>
      <w:r w:rsidRPr="00AA3308">
        <w:rPr>
          <w:rFonts w:asciiTheme="majorHAnsi" w:hAnsiTheme="majorHAnsi" w:cstheme="majorHAnsi"/>
          <w:sz w:val="20"/>
          <w:szCs w:val="20"/>
        </w:rPr>
        <w:t>Lieferanten-Portal: extern erreichbare Web-</w:t>
      </w:r>
      <w:proofErr w:type="spellStart"/>
      <w:r w:rsidRPr="00AA3308">
        <w:rPr>
          <w:rFonts w:asciiTheme="majorHAnsi" w:hAnsiTheme="majorHAnsi" w:cstheme="majorHAnsi"/>
          <w:sz w:val="20"/>
          <w:szCs w:val="20"/>
        </w:rPr>
        <w:t>Applikation</w:t>
      </w:r>
      <w:proofErr w:type="spellEnd"/>
      <w:r w:rsidRPr="00AA3308">
        <w:rPr>
          <w:rFonts w:asciiTheme="majorHAnsi" w:hAnsiTheme="majorHAnsi" w:cstheme="majorHAnsi"/>
          <w:sz w:val="20"/>
          <w:szCs w:val="20"/>
        </w:rPr>
      </w:r>
    </w:p>
    <w:p w14:paraId="3266617A" w14:textId="77777777" w:rsidR="00AA3308" w:rsidRPr="00AA3308" w:rsidRDefault="00AA3308" w:rsidP="00AA3308">
      <w:pPr>
        <w:pStyle w:val="Listenabsatz"/>
        <w:numPr>
          <w:ilvl w:val="0"/>
          <w:numId w:val="9"/>
        </w:numPr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sz w:val="20"/>
          <w:szCs w:val="20"/>
        </w:rPr>
        <w:t xml:space="preserve">Cloud-Nutzung ist auf Vertriebsprozesse (Salesforce) und die monatliche Backup-Sicherung beschränkt, keine weiteren Fachanwendungen in der Cloud im Einsatz</w:t>
      </w:r>
    </w:p>
    <w:p w14:paraId="3266617A" w14:textId="77777777" w:rsidR="00AA3308" w:rsidRPr="00AA3308" w:rsidRDefault="00AA3308" w:rsidP="00AA3308">
      <w:pPr>
        <w:pStyle w:val="Listenabsatz"/>
        <w:numPr>
          <w:ilvl w:val="0"/>
          <w:numId w:val="9"/>
        </w:numPr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sz w:val="20"/>
          <w:szCs w:val="20"/>
        </w:rPr>
        <w:t xml:space="preserve">Mobilgeräte: Außendienst und Vertrieb nutzen firmeneigene Notebooks, kein separates Mobile-Device-Programm im Einsatz</w:t>
      </w:r>
    </w:p>
    <w:p w14:paraId="3CF1BC5D" w14:textId="77777777" w:rsidR="00AA3308" w:rsidRPr="00AA3308" w:rsidRDefault="00AA3308" w:rsidP="00AA3308">
      <w:pPr>
        <w:rPr>
          <w:rFonts w:asciiTheme="majorHAnsi" w:hAnsiTheme="majorHAnsi" w:cstheme="majorHAnsi"/>
          <w:b/>
          <w:bCs/>
          <w:sz w:val="20"/>
          <w:szCs w:val="20"/>
        </w:rPr>
      </w:pPr>
      <w:bookmarkStart w:id="2" w:name="_Toc120651102"/>
      <w:bookmarkStart w:id="3" w:name="_Toc147497952"/>
      <w:bookmarkStart w:id="4" w:name="_Toc215480466"/>
      <w:bookmarkEnd w:id="0"/>
      <w:bookmarkEnd w:id="1"/>
      <w:r w:rsidRPr="00AA3308">
        <w:rPr>
          <w:rFonts w:asciiTheme="majorHAnsi" w:hAnsiTheme="majorHAnsi" w:cstheme="majorHAnsi"/>
          <w:b/>
          <w:bCs/>
          <w:sz w:val="20"/>
          <w:szCs w:val="20"/>
        </w:rPr>
        <w:t>Betriebs- &amp; Service-Setup</w:t>
      </w:r>
    </w:p>
    <w:p w14:paraId="20D40F1C" w14:textId="77777777" w:rsidR="00AA3308" w:rsidRPr="00AA3308" w:rsidRDefault="00AA3308" w:rsidP="00AA3308">
      <w:pPr>
        <w:pStyle w:val="Listenabsatz"/>
        <w:numPr>
          <w:ilvl w:val="0"/>
          <w:numId w:val="10"/>
        </w:numPr>
        <w:rPr>
          <w:rFonts w:asciiTheme="majorHAnsi" w:hAnsiTheme="majorHAnsi" w:cstheme="majorHAnsi"/>
          <w:sz w:val="20"/>
          <w:szCs w:val="20"/>
        </w:rPr>
      </w:pPr>
      <w:r w:rsidRPr="00AA3308">
        <w:rPr>
          <w:rFonts w:asciiTheme="majorHAnsi" w:hAnsiTheme="majorHAnsi" w:cstheme="majorHAnsi"/>
          <w:sz w:val="20"/>
          <w:szCs w:val="20"/>
        </w:rPr>
        <w:t>IT-Betrieb durch 2 Administratoren (</w:t>
      </w:r>
      <w:proofErr w:type="spellStart"/>
      <w:r w:rsidRPr="00AA3308">
        <w:rPr>
          <w:rFonts w:asciiTheme="majorHAnsi" w:hAnsiTheme="majorHAnsi" w:cstheme="majorHAnsi"/>
          <w:sz w:val="20"/>
          <w:szCs w:val="20"/>
        </w:rPr>
        <w:t>Generalistenprofil</w:t>
      </w:r>
      <w:proofErr w:type="spellEnd"/>
      <w:r w:rsidRPr="00AA3308">
        <w:rPr>
          <w:rFonts w:asciiTheme="majorHAnsi" w:hAnsiTheme="majorHAnsi" w:cstheme="majorHAnsi"/>
          <w:sz w:val="20"/>
          <w:szCs w:val="20"/>
        </w:rPr>
        <w:t>)</w:t>
      </w:r>
    </w:p>
    <w:p w14:paraId="20D40F1C" w14:textId="77777777" w:rsidR="00AA3308" w:rsidRPr="00AA3308" w:rsidRDefault="00AA3308" w:rsidP="00AA3308">
      <w:pPr>
        <w:pStyle w:val="Listenabsatz"/>
        <w:numPr>
          <w:ilvl w:val="0"/>
          <w:numId w:val="10"/>
        </w:numPr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sz w:val="20"/>
          <w:szCs w:val="20"/>
        </w:rPr>
        <w:t xml:space="preserve">Administratorzugänge: gemeinsam genutzte Admin-Konten für Server- und Netzwerkkomponenten, keine gesonderte Verwaltung privilegierter Zugriffe</w:t>
      </w:r>
    </w:p>
    <w:p w14:paraId="0254580D" w14:textId="77777777" w:rsidR="00AA3308" w:rsidRPr="00AA3308" w:rsidRDefault="00AA3308" w:rsidP="00AA3308">
      <w:pPr>
        <w:pStyle w:val="Listenabsatz"/>
        <w:numPr>
          <w:ilvl w:val="0"/>
          <w:numId w:val="10"/>
        </w:numPr>
        <w:rPr>
          <w:rFonts w:asciiTheme="majorHAnsi" w:hAnsiTheme="majorHAnsi" w:cstheme="majorHAnsi"/>
          <w:sz w:val="20"/>
          <w:szCs w:val="20"/>
        </w:rPr>
      </w:pPr>
      <w:r w:rsidRPr="00AA3308">
        <w:rPr>
          <w:rFonts w:asciiTheme="majorHAnsi" w:hAnsiTheme="majorHAnsi" w:cstheme="majorHAnsi"/>
          <w:sz w:val="20"/>
          <w:szCs w:val="20"/>
        </w:rPr>
        <w:t>Externe IT-Dienstleister bei Bedarf, Remote-Zugriff für Support</w:t>
      </w:r>
    </w:p>
    <w:p w14:paraId="78C2AB02" w14:textId="77777777" w:rsidR="00AA3308" w:rsidRPr="00AA3308" w:rsidRDefault="00AA3308" w:rsidP="00AA3308">
      <w:pPr>
        <w:pStyle w:val="Listenabsatz"/>
        <w:numPr>
          <w:ilvl w:val="0"/>
          <w:numId w:val="10"/>
        </w:numPr>
        <w:rPr>
          <w:rFonts w:asciiTheme="majorHAnsi" w:hAnsiTheme="majorHAnsi" w:cstheme="majorHAnsi"/>
          <w:sz w:val="20"/>
          <w:szCs w:val="20"/>
        </w:rPr>
      </w:pPr>
      <w:r w:rsidRPr="00AA3308">
        <w:rPr>
          <w:rFonts w:asciiTheme="majorHAnsi" w:hAnsiTheme="majorHAnsi" w:cstheme="majorHAnsi"/>
          <w:sz w:val="20"/>
          <w:szCs w:val="20"/>
        </w:rPr>
        <w:t>Remote-Zugänge durch fünf Lieferanten (u. a. MES, CAD, IT)</w:t>
      </w:r>
    </w:p>
    <w:p w14:paraId="5F276616" w14:textId="77777777" w:rsidR="00AA3308" w:rsidRPr="00AA3308" w:rsidRDefault="00AA3308" w:rsidP="00AA3308">
      <w:pPr>
        <w:pStyle w:val="Listenabsatz"/>
        <w:numPr>
          <w:ilvl w:val="0"/>
          <w:numId w:val="10"/>
        </w:numPr>
        <w:rPr>
          <w:rFonts w:asciiTheme="majorHAnsi" w:hAnsiTheme="majorHAnsi" w:cstheme="majorHAnsi"/>
          <w:sz w:val="20"/>
          <w:szCs w:val="20"/>
        </w:rPr>
      </w:pPr>
      <w:proofErr w:type="spellStart"/>
      <w:r w:rsidRPr="00AA3308">
        <w:rPr>
          <w:rFonts w:asciiTheme="majorHAnsi" w:hAnsiTheme="majorHAnsi" w:cstheme="majorHAnsi"/>
          <w:sz w:val="20"/>
          <w:szCs w:val="20"/>
        </w:rPr>
        <w:t>Policies</w:t>
      </w:r>
      <w:proofErr w:type="spellEnd"/>
      <w:r w:rsidRPr="00AA3308">
        <w:rPr>
          <w:rFonts w:asciiTheme="majorHAnsi" w:hAnsiTheme="majorHAnsi" w:cstheme="majorHAnsi"/>
          <w:sz w:val="20"/>
          <w:szCs w:val="20"/>
        </w:rPr>
        <w:t>/Standards: derzeit nicht als dokumentierter Satz beschrieben</w:t>
      </w:r>
    </w:p>
    <w:p w14:paraId="05843C3A" w14:textId="77777777" w:rsidR="00AA3308" w:rsidRPr="00AA3308" w:rsidRDefault="00AA3308" w:rsidP="00AA3308">
      <w:pPr>
        <w:pStyle w:val="Listenabsatz"/>
        <w:numPr>
          <w:ilvl w:val="0"/>
          <w:numId w:val="10"/>
        </w:numPr>
        <w:rPr>
          <w:rFonts w:asciiTheme="majorHAnsi" w:hAnsiTheme="majorHAnsi" w:cstheme="majorHAnsi"/>
          <w:sz w:val="20"/>
          <w:szCs w:val="20"/>
        </w:rPr>
      </w:pPr>
      <w:r w:rsidRPr="00AA3308">
        <w:rPr>
          <w:rFonts w:asciiTheme="majorHAnsi" w:hAnsiTheme="majorHAnsi" w:cstheme="majorHAnsi"/>
          <w:sz w:val="20"/>
          <w:szCs w:val="20"/>
        </w:rPr>
        <w:t>Sicherheitsbetrieb: SIEM/EDR nicht als feste Plattformkomponenten genannt</w:t>
      </w:r>
    </w:p>
    <w:p w14:paraId="3D073591" w14:textId="77777777" w:rsidR="00AA3308" w:rsidRPr="00AA3308" w:rsidRDefault="00AA3308" w:rsidP="00AA3308">
      <w:pPr>
        <w:pStyle w:val="Listenabsatz"/>
        <w:numPr>
          <w:ilvl w:val="0"/>
          <w:numId w:val="10"/>
        </w:numPr>
        <w:rPr>
          <w:rFonts w:asciiTheme="majorHAnsi" w:hAnsiTheme="majorHAnsi" w:cstheme="majorHAnsi"/>
          <w:sz w:val="20"/>
          <w:szCs w:val="20"/>
        </w:rPr>
      </w:pPr>
      <w:r w:rsidRPr="00AA3308">
        <w:rPr>
          <w:rFonts w:asciiTheme="majorHAnsi" w:hAnsiTheme="majorHAnsi" w:cstheme="majorHAnsi"/>
          <w:sz w:val="20"/>
          <w:szCs w:val="20"/>
        </w:rPr>
        <w:t xml:space="preserve">Patch-/Update-Praxis in der Produktion: Umsetzung im Rahmen verfügbarer </w:t>
      </w:r>
      <w:proofErr w:type="spellStart"/>
      <w:r w:rsidRPr="00AA3308">
        <w:rPr>
          <w:rFonts w:asciiTheme="majorHAnsi" w:hAnsiTheme="majorHAnsi" w:cstheme="majorHAnsi"/>
          <w:sz w:val="20"/>
          <w:szCs w:val="20"/>
        </w:rPr>
        <w:t>Wartungsfenster</w:t>
      </w:r>
      <w:proofErr w:type="spellEnd"/>
      <w:r w:rsidRPr="00AA3308">
        <w:rPr>
          <w:rFonts w:asciiTheme="majorHAnsi" w:hAnsiTheme="majorHAnsi" w:cstheme="majorHAnsi"/>
          <w:sz w:val="20"/>
          <w:szCs w:val="20"/>
        </w:rPr>
      </w:r>
    </w:p>
    <w:p w14:paraId="589ED3DD" w14:textId="77777777" w:rsidR="00AA3308" w:rsidRPr="00AA3308" w:rsidRDefault="00AA3308" w:rsidP="00AA3308">
      <w:pPr>
        <w:rPr>
          <w:rFonts w:asciiTheme="majorHAnsi" w:hAnsiTheme="majorHAnsi" w:cstheme="majorHAnsi"/>
          <w:b/>
          <w:bCs/>
          <w:sz w:val="20"/>
          <w:szCs w:val="20"/>
        </w:rPr>
      </w:pPr>
      <w:r w:rsidRPr="00AA3308">
        <w:rPr>
          <w:rFonts w:asciiTheme="majorHAnsi" w:hAnsiTheme="majorHAnsi" w:cstheme="majorHAnsi"/>
          <w:b/>
          <w:bCs/>
          <w:sz w:val="20"/>
          <w:szCs w:val="20"/>
        </w:rPr>
        <w:t>Abhängigkeiten</w:t>
      </w:r>
    </w:p>
    <w:p w14:paraId="6032BD78" w14:textId="77777777" w:rsidR="00AA3308" w:rsidRPr="00AA3308" w:rsidRDefault="00AA3308" w:rsidP="00AA3308">
      <w:pPr>
        <w:pStyle w:val="Listenabsatz"/>
        <w:numPr>
          <w:ilvl w:val="0"/>
          <w:numId w:val="11"/>
        </w:numPr>
        <w:rPr>
          <w:rFonts w:asciiTheme="majorHAnsi" w:hAnsiTheme="majorHAnsi" w:cstheme="majorHAnsi"/>
          <w:sz w:val="20"/>
          <w:szCs w:val="20"/>
        </w:rPr>
      </w:pPr>
      <w:r w:rsidRPr="00AA3308">
        <w:rPr>
          <w:rFonts w:asciiTheme="majorHAnsi" w:hAnsiTheme="majorHAnsi" w:cstheme="majorHAnsi"/>
          <w:sz w:val="20"/>
          <w:szCs w:val="20"/>
        </w:rPr>
        <w:t>Hohe Kopplung zwischen Liefermodell (JIT/Termintreue) und Verfügbarkeit von MES/SCADA sowie Engineering- und File-Services</w:t>
      </w:r>
    </w:p>
    <w:p w14:paraId="159B8BEC" w14:textId="77777777" w:rsidR="00AA3308" w:rsidRPr="00AA3308" w:rsidRDefault="00AA3308" w:rsidP="00AA3308">
      <w:pPr>
        <w:pStyle w:val="Listenabsatz"/>
        <w:numPr>
          <w:ilvl w:val="0"/>
          <w:numId w:val="11"/>
        </w:numPr>
        <w:rPr>
          <w:rFonts w:asciiTheme="majorHAnsi" w:hAnsiTheme="majorHAnsi" w:cstheme="majorHAnsi"/>
          <w:sz w:val="20"/>
          <w:szCs w:val="20"/>
        </w:rPr>
      </w:pPr>
      <w:r w:rsidRPr="00AA3308">
        <w:rPr>
          <w:rFonts w:asciiTheme="majorHAnsi" w:hAnsiTheme="majorHAnsi" w:cstheme="majorHAnsi"/>
          <w:sz w:val="20"/>
          <w:szCs w:val="20"/>
        </w:rPr>
        <w:t>Relevanz von Konstruktions- und Prozessdaten für Fertigungsfähigkeit und Kundenkommunikation</w:t>
      </w:r>
    </w:p>
    <w:p w14:paraId="0B53A2B9" w14:textId="77777777" w:rsidR="00AA3308" w:rsidRPr="00AA3308" w:rsidRDefault="00AA3308" w:rsidP="00AA3308">
      <w:pPr>
        <w:pStyle w:val="Listenabsatz"/>
        <w:numPr>
          <w:ilvl w:val="0"/>
          <w:numId w:val="11"/>
        </w:numPr>
        <w:rPr>
          <w:rFonts w:asciiTheme="majorHAnsi" w:hAnsiTheme="majorHAnsi" w:cstheme="majorHAnsi"/>
          <w:sz w:val="20"/>
          <w:szCs w:val="20"/>
        </w:rPr>
      </w:pPr>
      <w:r w:rsidRPr="00AA3308">
        <w:rPr>
          <w:rFonts w:asciiTheme="majorHAnsi" w:hAnsiTheme="majorHAnsi" w:cstheme="majorHAnsi"/>
          <w:sz w:val="20"/>
          <w:szCs w:val="20"/>
        </w:rPr>
        <w:t>Mehrere Remote-Zugänge in Kombination mit schlankem IT-Team und stark integrierter Netzwerkinfrastruktur</w:t>
      </w:r>
    </w:p>
    <w:p w14:paraId="22963959" w14:textId="77777777" w:rsidR="00AA3308" w:rsidRPr="00AA3308" w:rsidRDefault="00AA3308" w:rsidP="00AA3308">
      <w:pPr>
        <w:pStyle w:val="Listenabsatz"/>
        <w:numPr>
          <w:ilvl w:val="0"/>
          <w:numId w:val="11"/>
        </w:numPr>
        <w:rPr>
          <w:rFonts w:asciiTheme="majorHAnsi" w:hAnsiTheme="majorHAnsi" w:cstheme="majorHAnsi"/>
          <w:sz w:val="20"/>
          <w:szCs w:val="20"/>
        </w:rPr>
      </w:pPr>
      <w:r w:rsidRPr="00AA3308">
        <w:rPr>
          <w:rFonts w:asciiTheme="majorHAnsi" w:hAnsiTheme="majorHAnsi" w:cstheme="majorHAnsi"/>
          <w:sz w:val="20"/>
          <w:szCs w:val="20"/>
        </w:rPr>
        <w:t xml:space="preserve">Auslastungs- und </w:t>
      </w:r>
      <w:proofErr w:type="spellStart"/>
      <w:r w:rsidRPr="00AA3308">
        <w:rPr>
          <w:rFonts w:asciiTheme="majorHAnsi" w:hAnsiTheme="majorHAnsi" w:cstheme="majorHAnsi"/>
          <w:sz w:val="20"/>
          <w:szCs w:val="20"/>
        </w:rPr>
        <w:t>Stillstandsfenster</w:t>
      </w:r>
      <w:proofErr w:type="spellEnd"/>
      <w:r w:rsidRPr="00AA3308">
        <w:rPr>
          <w:rFonts w:asciiTheme="majorHAnsi" w:hAnsiTheme="majorHAnsi" w:cstheme="majorHAnsi"/>
          <w:sz w:val="20"/>
          <w:szCs w:val="20"/>
        </w:rPr>
        <w:t xml:space="preserve"> als Taktgeber für Änderungen/Updates in der produktionsnahen Umgebung</w:t>
      </w:r>
    </w:p>
    <w:bookmarkEnd w:id="2"/>
    <w:bookmarkEnd w:id="3"/>
    <w:bookmarkEnd w:id="4"/>
    <w:p w14:paraId="40DB95BB" w14:textId="6F8C4866" w:rsidR="00576BD1" w:rsidRPr="00AA3308" w:rsidRDefault="00576BD1" w:rsidP="00AA3308">
      <w:pPr>
        <w:spacing w:after="0"/>
        <w:rPr>
          <w:rFonts w:asciiTheme="majorHAnsi" w:hAnsiTheme="majorHAnsi" w:cstheme="majorHAnsi"/>
          <w:sz w:val="20"/>
          <w:szCs w:val="20"/>
        </w:rPr>
      </w:pPr>
    </w:p>
    <w:sectPr w:rsidR="00576BD1" w:rsidRPr="00AA3308" w:rsidSect="00AA3308">
      <w:headerReference w:type="even" r:id="rId7"/>
      <w:headerReference w:type="default" r:id="rId8"/>
      <w:footerReference w:type="even" r:id="rId9"/>
      <w:footerReference w:type="default" r:id="rId10"/>
      <w:pgSz w:w="11906" w:h="16838" w:code="9"/>
      <w:pgMar w:top="2269" w:right="1416" w:bottom="1021" w:left="1418" w:header="1020" w:footer="11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EAD72E" w14:textId="77777777" w:rsidR="00905161" w:rsidRDefault="00905161">
      <w:pPr>
        <w:spacing w:after="0" w:line="240" w:lineRule="auto"/>
      </w:pPr>
      <w:r>
        <w:separator/>
      </w:r>
    </w:p>
  </w:endnote>
  <w:endnote w:type="continuationSeparator" w:id="0">
    <w:p w14:paraId="46F52A77" w14:textId="77777777" w:rsidR="00905161" w:rsidRDefault="009051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25AD7D" w14:textId="77777777" w:rsidR="00000000" w:rsidRPr="008C65DC" w:rsidRDefault="00000000">
    <w:pPr>
      <w:pStyle w:val="FuzeileersteZeile"/>
      <w:rPr>
        <w:snapToGrid w:val="0"/>
      </w:rPr>
    </w:pPr>
    <w:r w:rsidRPr="008C65DC">
      <w:rPr>
        <w:snapToGrid w:val="0"/>
      </w:rPr>
      <w:t xml:space="preserve">- </w:t>
    </w:r>
    <w:r w:rsidRPr="008C65DC">
      <w:rPr>
        <w:snapToGrid w:val="0"/>
      </w:rPr>
      <w:fldChar w:fldCharType="begin"/>
    </w:r>
    <w:r w:rsidRPr="008C65DC">
      <w:rPr>
        <w:snapToGrid w:val="0"/>
      </w:rPr>
      <w:instrText xml:space="preserve"> PAGE </w:instrText>
    </w:r>
    <w:r w:rsidRPr="008C65DC">
      <w:rPr>
        <w:snapToGrid w:val="0"/>
      </w:rPr>
      <w:fldChar w:fldCharType="separate"/>
    </w:r>
    <w:r w:rsidRPr="008C65DC">
      <w:rPr>
        <w:snapToGrid w:val="0"/>
      </w:rPr>
      <w:t>54</w:t>
    </w:r>
    <w:r w:rsidRPr="008C65DC">
      <w:rPr>
        <w:snapToGrid w:val="0"/>
      </w:rPr>
      <w:fldChar w:fldCharType="end"/>
    </w:r>
    <w:r w:rsidRPr="008C65DC">
      <w:rPr>
        <w:snapToGrid w:val="0"/>
      </w:rPr>
      <w:t xml:space="preserve"> –</w:t>
    </w:r>
    <w:r w:rsidRPr="008C65DC">
      <w:tab/>
      <w:t>Stand 07.05.2002</w:t>
    </w:r>
    <w:r w:rsidRPr="008C65DC">
      <w:rPr>
        <w:snapToGrid w:val="0"/>
      </w:rPr>
      <w:tab/>
    </w:r>
    <w:r w:rsidRPr="008C65DC">
      <w:t>© 2000-2002 Solutions GmbH</w:t>
    </w:r>
  </w:p>
  <w:p w14:paraId="757D7643" w14:textId="77777777" w:rsidR="00000000" w:rsidRPr="008C65DC" w:rsidRDefault="00000000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E39F80" w14:textId="77777777" w:rsidR="00000000" w:rsidRPr="008C65DC" w:rsidRDefault="00000000" w:rsidP="00690BC4">
    <w:pPr>
      <w:pStyle w:val="Fuzeile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BE5134" w14:textId="77777777" w:rsidR="00905161" w:rsidRDefault="00905161">
      <w:pPr>
        <w:spacing w:after="0" w:line="240" w:lineRule="auto"/>
      </w:pPr>
      <w:r>
        <w:separator/>
      </w:r>
    </w:p>
  </w:footnote>
  <w:footnote w:type="continuationSeparator" w:id="0">
    <w:p w14:paraId="7CF327D6" w14:textId="77777777" w:rsidR="00905161" w:rsidRDefault="0090516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4E95D1" w14:textId="77777777" w:rsidR="00000000" w:rsidRPr="008C65DC" w:rsidRDefault="00000000">
    <w:pPr>
      <w:pStyle w:val="Kopfzeilegerade"/>
    </w:pPr>
    <w:r w:rsidRPr="008C65DC"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E977F53" wp14:editId="34FC4D73">
              <wp:simplePos x="0" y="0"/>
              <wp:positionH relativeFrom="column">
                <wp:posOffset>1026160</wp:posOffset>
              </wp:positionH>
              <wp:positionV relativeFrom="page">
                <wp:posOffset>1094740</wp:posOffset>
              </wp:positionV>
              <wp:extent cx="5039995" cy="0"/>
              <wp:effectExtent l="16510" t="18415" r="10795" b="10160"/>
              <wp:wrapNone/>
              <wp:docPr id="2" name="Gerader Verbinder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03999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80808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78834BF" id="Gerader Verbinder 2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" from="80.8pt,86.2pt" to="477.65pt,8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" strokecolor="gray" strokeweight="1.5pt">
              <w10:wrap anchory="page"/>
            </v:line>
          </w:pict>
        </mc:Fallback>
      </mc:AlternateContent>
    </w:r>
    <w:r>
      <w:object w:dxaOrig="1440" w:dyaOrig="1440" w14:anchorId="1582910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5" type="#_x0000_t75" style="position:absolute;left:0;text-align:left;margin-left:56.4pt;margin-top:31.2pt;width:90.7pt;height:76.85pt;z-index:251659264;visibility:visible;mso-wrap-edited:f;mso-position-horizontal-relative:page;mso-position-vertical-relative:page">
          <v:imagedata r:id="rId1" o:title="" gain="69719f"/>
          <w10:wrap anchorx="page" anchory="page"/>
        </v:shape>
        <o:OLEObject Type="Embed" ProgID="Word.Picture.8" ShapeID="_x0000_s1025" DrawAspect="Content" ObjectID="_1831099898" r:id="rId2"/>
      </w:object>
    </w:r>
  </w:p>
  <w:p w14:paraId="15D65B61" w14:textId="77777777" w:rsidR="00000000" w:rsidRPr="008C65DC" w:rsidRDefault="00000000">
    <w:pPr>
      <w:pStyle w:val="Kopfzeilegerade"/>
    </w:pPr>
    <w:r w:rsidRPr="008C65DC">
      <w:t>Projekthandbuch</w:t>
    </w:r>
  </w:p>
  <w:p w14:paraId="5B7C53A8" w14:textId="77777777" w:rsidR="00000000" w:rsidRPr="008C65DC" w:rsidRDefault="00000000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02F2F8" w14:textId="77777777" w:rsidR="00000000" w:rsidRPr="008C65DC" w:rsidRDefault="00000000" w:rsidP="000D36ED">
    <w:pPr>
      <w:pStyle w:val="Kopfzeile"/>
      <w:rPr>
        <w:rStyle w:val="Hyperlink"/>
        <w:color w:val="666666" w:themeColor="text1" w:themeTint="99"/>
      </w:rPr>
    </w:pPr>
  </w:p>
  <w:p w14:paraId="142FE3AC" w14:textId="77777777" w:rsidR="00000000" w:rsidRPr="008C65DC" w:rsidRDefault="00000000" w:rsidP="000D36ED">
    <w:pPr>
      <w:pStyle w:val="Kopfzeile"/>
      <w:rPr>
        <w:rStyle w:val="Hyperlink"/>
        <w:color w:val="666666" w:themeColor="text1" w:themeTint="99"/>
      </w:rPr>
    </w:pPr>
  </w:p>
  <w:p w14:paraId="0C3DED38" w14:textId="77777777" w:rsidR="00000000" w:rsidRPr="008C65DC" w:rsidRDefault="00000000" w:rsidP="000D36ED">
    <w:pPr>
      <w:pStyle w:val="Kopfzeile"/>
      <w:rPr>
        <w:rStyle w:val="Hyperlink"/>
        <w:color w:val="666666" w:themeColor="text1" w:themeTint="99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73DC4"/>
    <w:multiLevelType w:val="hybridMultilevel"/>
    <w:tmpl w:val="89AE592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A23FB8"/>
    <w:multiLevelType w:val="hybridMultilevel"/>
    <w:tmpl w:val="825A5E4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D61109"/>
    <w:multiLevelType w:val="hybridMultilevel"/>
    <w:tmpl w:val="5F42E8B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064EA0"/>
    <w:multiLevelType w:val="hybridMultilevel"/>
    <w:tmpl w:val="14042A4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9B0692"/>
    <w:multiLevelType w:val="hybridMultilevel"/>
    <w:tmpl w:val="F754F63A"/>
    <w:lvl w:ilvl="0" w:tplc="9C2481DE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HAnsi" w:hint="default"/>
        <w:sz w:val="20"/>
        <w:szCs w:val="2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A2E7C65"/>
    <w:multiLevelType w:val="hybridMultilevel"/>
    <w:tmpl w:val="E42C163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00F6BB9"/>
    <w:multiLevelType w:val="hybridMultilevel"/>
    <w:tmpl w:val="B980FBD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27319E1"/>
    <w:multiLevelType w:val="hybridMultilevel"/>
    <w:tmpl w:val="2828FAF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1CC64EC"/>
    <w:multiLevelType w:val="hybridMultilevel"/>
    <w:tmpl w:val="76727B2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C646126"/>
    <w:multiLevelType w:val="hybridMultilevel"/>
    <w:tmpl w:val="596CE12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DEA3FA5"/>
    <w:multiLevelType w:val="hybridMultilevel"/>
    <w:tmpl w:val="C742C2F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61871720">
    <w:abstractNumId w:val="4"/>
  </w:num>
  <w:num w:numId="2" w16cid:durableId="1492018971">
    <w:abstractNumId w:val="8"/>
  </w:num>
  <w:num w:numId="3" w16cid:durableId="2022390233">
    <w:abstractNumId w:val="0"/>
  </w:num>
  <w:num w:numId="4" w16cid:durableId="950014429">
    <w:abstractNumId w:val="2"/>
  </w:num>
  <w:num w:numId="5" w16cid:durableId="1103113465">
    <w:abstractNumId w:val="10"/>
  </w:num>
  <w:num w:numId="6" w16cid:durableId="534193011">
    <w:abstractNumId w:val="7"/>
  </w:num>
  <w:num w:numId="7" w16cid:durableId="801188459">
    <w:abstractNumId w:val="9"/>
  </w:num>
  <w:num w:numId="8" w16cid:durableId="744157">
    <w:abstractNumId w:val="5"/>
  </w:num>
  <w:num w:numId="9" w16cid:durableId="970981712">
    <w:abstractNumId w:val="1"/>
  </w:num>
  <w:num w:numId="10" w16cid:durableId="623124929">
    <w:abstractNumId w:val="3"/>
  </w:num>
  <w:num w:numId="11" w16cid:durableId="129244366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6BD1"/>
    <w:rsid w:val="00576BD1"/>
    <w:rsid w:val="00905161"/>
    <w:rsid w:val="00AA3308"/>
    <w:rsid w:val="00B333EF"/>
    <w:rsid w:val="00B762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642C75A"/>
  <w15:docId w15:val="{5C112F4A-C57A-4B8C-8D59-4131B91567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pPr>
      <w:keepNext/>
      <w:keepLines/>
      <w:spacing w:before="360" w:after="80"/>
      <w:outlineLvl w:val="0"/>
    </w:pPr>
    <w:rPr>
      <w:rFonts w:ascii="Arial" w:eastAsia="Arial" w:hAnsi="Arial" w:cs="Arial"/>
      <w:color w:val="2E74B5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2E74B5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2E74B5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2E74B5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2E74B5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unhideWhenUsed/>
    <w:qFormat/>
    <w:pPr>
      <w:keepNext/>
      <w:keepLines/>
      <w:spacing w:before="40" w:after="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NormaleTabelle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EinfacheTabelle1">
    <w:name w:val="Plain Table 1"/>
    <w:basedOn w:val="NormaleTabelle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EinfacheTabelle2">
    <w:name w:val="Plain Table 2"/>
    <w:basedOn w:val="NormaleTabelle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EinfacheTabelle3">
    <w:name w:val="Plain Table 3"/>
    <w:basedOn w:val="NormaleTabelle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EinfacheTabelle4">
    <w:name w:val="Plain Table 4"/>
    <w:basedOn w:val="NormaleTabelle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EinfacheTabelle5">
    <w:name w:val="Plain Table 5"/>
    <w:basedOn w:val="NormaleTabelle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itternetztabelle1hell">
    <w:name w:val="Grid Table 1 Light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Gitternetztabelle2">
    <w:name w:val="Grid Table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itternetztabelle3">
    <w:name w:val="Grid Table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itternetztabelle4">
    <w:name w:val="Grid Table 4"/>
    <w:basedOn w:val="NormaleTabelle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NormaleTabelle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NormaleTabelle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NormaleTabelle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NormaleTabelle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NormaleTabelle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NormaleTabelle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itternetztabelle5dunkel">
    <w:name w:val="Grid Table 5 Dark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Gitternetztabelle6farbig">
    <w:name w:val="Grid Table 6 Colorful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Gitternetztabelle7farbig">
    <w:name w:val="Grid Table 7 Colorful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Listentabelle1hell">
    <w:name w:val="List Table 1 Light"/>
    <w:basedOn w:val="NormaleTabelle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NormaleTabelle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NormaleTabelle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NormaleTabelle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NormaleTabelle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NormaleTabelle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NormaleTabelle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Listentabelle2">
    <w:name w:val="List Table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entabelle3">
    <w:name w:val="List Table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Listentabelle4">
    <w:name w:val="List Table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entabelle5dunkel">
    <w:name w:val="List Table 5 Dark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Listentabelle6farbig">
    <w:name w:val="List Table 6 Colorful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Listentabelle7farbig">
    <w:name w:val="List Table 7 Colorful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NormaleTabelle"/>
    <w:uiPriority w:val="99"/>
    <w:pPr>
      <w:spacing w:after="0" w:line="240" w:lineRule="auto"/>
    </w:pPr>
    <w:rPr>
      <w:color w:val="404040"/>
      <w:sz w:val="20"/>
      <w:szCs w:val="20"/>
      <w:lang w:eastAsia="zh-C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NormaleTabelle"/>
    <w:uiPriority w:val="99"/>
    <w:pPr>
      <w:spacing w:after="0" w:line="240" w:lineRule="auto"/>
    </w:pPr>
    <w:rPr>
      <w:color w:val="404040"/>
      <w:sz w:val="20"/>
      <w:szCs w:val="20"/>
      <w:lang w:eastAsia="zh-C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NormaleTabelle"/>
    <w:uiPriority w:val="99"/>
    <w:pPr>
      <w:spacing w:after="0" w:line="240" w:lineRule="auto"/>
    </w:pPr>
    <w:rPr>
      <w:color w:val="404040"/>
      <w:sz w:val="20"/>
      <w:szCs w:val="20"/>
      <w:lang w:eastAsia="zh-C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NormaleTabelle"/>
    <w:uiPriority w:val="99"/>
    <w:pPr>
      <w:spacing w:after="0" w:line="240" w:lineRule="auto"/>
    </w:pPr>
    <w:rPr>
      <w:color w:val="404040"/>
      <w:sz w:val="20"/>
      <w:szCs w:val="20"/>
      <w:lang w:eastAsia="zh-C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NormaleTabelle"/>
    <w:uiPriority w:val="99"/>
    <w:pPr>
      <w:spacing w:after="0" w:line="240" w:lineRule="auto"/>
    </w:pPr>
    <w:rPr>
      <w:color w:val="404040"/>
      <w:sz w:val="20"/>
      <w:szCs w:val="20"/>
      <w:lang w:eastAsia="zh-C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NormaleTabelle"/>
    <w:uiPriority w:val="99"/>
    <w:pPr>
      <w:spacing w:after="0" w:line="240" w:lineRule="auto"/>
    </w:pPr>
    <w:rPr>
      <w:color w:val="404040"/>
      <w:sz w:val="20"/>
      <w:szCs w:val="20"/>
      <w:lang w:eastAsia="zh-C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NormaleTabelle"/>
    <w:uiPriority w:val="99"/>
    <w:pPr>
      <w:spacing w:after="0" w:line="240" w:lineRule="auto"/>
    </w:pPr>
    <w:rPr>
      <w:color w:val="404040"/>
      <w:sz w:val="20"/>
      <w:szCs w:val="20"/>
      <w:lang w:eastAsia="zh-C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NormaleTabelle"/>
    <w:uiPriority w:val="99"/>
    <w:pPr>
      <w:spacing w:after="0" w:line="240" w:lineRule="auto"/>
    </w:pPr>
    <w:rPr>
      <w:color w:val="404040"/>
      <w:sz w:val="20"/>
      <w:szCs w:val="20"/>
      <w:lang w:eastAsia="zh-CN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NormaleTabelle"/>
    <w:uiPriority w:val="99"/>
    <w:pPr>
      <w:spacing w:after="0" w:line="240" w:lineRule="auto"/>
    </w:pPr>
    <w:rPr>
      <w:color w:val="404040"/>
      <w:sz w:val="20"/>
      <w:szCs w:val="20"/>
      <w:lang w:eastAsia="zh-CN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NormaleTabelle"/>
    <w:uiPriority w:val="99"/>
    <w:pPr>
      <w:spacing w:after="0" w:line="240" w:lineRule="auto"/>
    </w:pPr>
    <w:rPr>
      <w:color w:val="404040"/>
      <w:sz w:val="20"/>
      <w:szCs w:val="20"/>
      <w:lang w:eastAsia="zh-CN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NormaleTabelle"/>
    <w:uiPriority w:val="99"/>
    <w:pPr>
      <w:spacing w:after="0" w:line="240" w:lineRule="auto"/>
    </w:pPr>
    <w:rPr>
      <w:color w:val="404040"/>
      <w:sz w:val="20"/>
      <w:szCs w:val="20"/>
      <w:lang w:eastAsia="zh-CN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NormaleTabelle"/>
    <w:uiPriority w:val="99"/>
    <w:pPr>
      <w:spacing w:after="0" w:line="240" w:lineRule="auto"/>
    </w:pPr>
    <w:rPr>
      <w:color w:val="404040"/>
      <w:sz w:val="20"/>
      <w:szCs w:val="20"/>
      <w:lang w:eastAsia="zh-CN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NormaleTabelle"/>
    <w:uiPriority w:val="99"/>
    <w:pPr>
      <w:spacing w:after="0" w:line="240" w:lineRule="auto"/>
    </w:pPr>
    <w:rPr>
      <w:color w:val="404040"/>
      <w:sz w:val="20"/>
      <w:szCs w:val="20"/>
      <w:lang w:eastAsia="zh-CN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NormaleTabelle"/>
    <w:uiPriority w:val="99"/>
    <w:pPr>
      <w:spacing w:after="0" w:line="240" w:lineRule="auto"/>
    </w:pPr>
    <w:rPr>
      <w:color w:val="404040"/>
      <w:sz w:val="20"/>
      <w:szCs w:val="20"/>
      <w:lang w:eastAsia="zh-CN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berschrift1Zchn">
    <w:name w:val="Überschrift 1 Zchn"/>
    <w:basedOn w:val="Absatz-Standardschriftart"/>
    <w:link w:val="berschrift1"/>
    <w:uiPriority w:val="9"/>
    <w:rPr>
      <w:rFonts w:ascii="Arial" w:eastAsia="Arial" w:hAnsi="Arial" w:cs="Arial"/>
      <w:color w:val="2E74B5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Pr>
      <w:rFonts w:ascii="Arial" w:eastAsia="Arial" w:hAnsi="Arial" w:cs="Arial"/>
      <w:color w:val="2E74B5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rPr>
      <w:rFonts w:ascii="Arial" w:eastAsia="Arial" w:hAnsi="Arial" w:cs="Arial"/>
      <w:color w:val="2E74B5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rPr>
      <w:rFonts w:ascii="Arial" w:eastAsia="Arial" w:hAnsi="Arial" w:cs="Arial"/>
      <w:i/>
      <w:iCs/>
      <w:color w:val="2E74B5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rPr>
      <w:rFonts w:ascii="Arial" w:eastAsia="Arial" w:hAnsi="Arial" w:cs="Arial"/>
      <w:color w:val="2E74B5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pPr>
      <w:spacing w:after="80" w:line="240" w:lineRule="auto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Pr>
      <w:rFonts w:ascii="Arial" w:eastAsia="Arial" w:hAnsi="Arial" w:cs="Arial"/>
      <w:spacing w:val="-10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Pr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Pr>
      <w:i/>
      <w:iCs/>
      <w:color w:val="404040" w:themeColor="text1" w:themeTint="BF"/>
    </w:rPr>
  </w:style>
  <w:style w:type="character" w:styleId="IntensiveHervorhebung">
    <w:name w:val="Intense Emphasis"/>
    <w:basedOn w:val="Absatz-Standardschriftart"/>
    <w:uiPriority w:val="21"/>
    <w:qFormat/>
    <w:rPr>
      <w:i/>
      <w:iCs/>
      <w:color w:val="2E74B5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Pr>
      <w:i/>
      <w:iCs/>
      <w:color w:val="2E74B5" w:themeColor="accent1" w:themeShade="BF"/>
    </w:rPr>
  </w:style>
  <w:style w:type="character" w:styleId="IntensiverVerweis">
    <w:name w:val="Intense Reference"/>
    <w:basedOn w:val="Absatz-Standardschriftart"/>
    <w:uiPriority w:val="32"/>
    <w:qFormat/>
    <w:rPr>
      <w:b/>
      <w:bCs/>
      <w:smallCaps/>
      <w:color w:val="2E74B5" w:themeColor="accent1" w:themeShade="BF"/>
      <w:spacing w:val="5"/>
    </w:rPr>
  </w:style>
  <w:style w:type="character" w:styleId="SchwacheHervorhebung">
    <w:name w:val="Subtle Emphasis"/>
    <w:basedOn w:val="Absatz-Standardschriftart"/>
    <w:uiPriority w:val="19"/>
    <w:qFormat/>
    <w:rPr>
      <w:i/>
      <w:iCs/>
      <w:color w:val="404040" w:themeColor="text1" w:themeTint="BF"/>
    </w:rPr>
  </w:style>
  <w:style w:type="character" w:styleId="Hervorhebung">
    <w:name w:val="Emphasis"/>
    <w:basedOn w:val="Absatz-Standardschriftart"/>
    <w:qFormat/>
    <w:rPr>
      <w:i/>
      <w:iCs/>
    </w:rPr>
  </w:style>
  <w:style w:type="character" w:styleId="Fett">
    <w:name w:val="Strong"/>
    <w:basedOn w:val="Absatz-Standardschriftart"/>
    <w:uiPriority w:val="22"/>
    <w:qFormat/>
    <w:rPr>
      <w:b/>
      <w:bCs/>
    </w:rPr>
  </w:style>
  <w:style w:type="character" w:styleId="SchwacherVerweis">
    <w:name w:val="Subtle Reference"/>
    <w:basedOn w:val="Absatz-Standardschriftart"/>
    <w:uiPriority w:val="31"/>
    <w:qFormat/>
    <w:rPr>
      <w:smallCaps/>
      <w:color w:val="5A5A5A" w:themeColor="text1" w:themeTint="A5"/>
    </w:rPr>
  </w:style>
  <w:style w:type="character" w:styleId="Buchtitel">
    <w:name w:val="Book Title"/>
    <w:basedOn w:val="Absatz-Standardschriftart"/>
    <w:uiPriority w:val="33"/>
    <w:qFormat/>
    <w:rPr>
      <w:b/>
      <w:bCs/>
      <w:i/>
      <w:iCs/>
      <w:spacing w:val="5"/>
    </w:rPr>
  </w:style>
  <w:style w:type="paragraph" w:styleId="Kopfzeile">
    <w:name w:val="header"/>
    <w:basedOn w:val="Standard"/>
    <w:link w:val="KopfzeileZchn"/>
    <w:unhideWhenUsed/>
    <w:qFormat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</w:style>
  <w:style w:type="paragraph" w:styleId="Fuzeile">
    <w:name w:val="footer"/>
    <w:basedOn w:val="Standard"/>
    <w:link w:val="FuzeileZchn"/>
    <w:uiPriority w:val="99"/>
    <w:unhideWhenUsed/>
    <w:qFormat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</w:style>
  <w:style w:type="paragraph" w:styleId="Beschriftung">
    <w:name w:val="caption"/>
    <w:basedOn w:val="Standard"/>
    <w:next w:val="Standard"/>
    <w:uiPriority w:val="35"/>
    <w:unhideWhenUsed/>
    <w:qFormat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Funotentext">
    <w:name w:val="footnote text"/>
    <w:basedOn w:val="Standard"/>
    <w:link w:val="FunotentextZchn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unotentextZchn">
    <w:name w:val="Fußnotentext Zchn"/>
    <w:basedOn w:val="Absatz-Standardschriftart"/>
    <w:link w:val="Funotentext"/>
    <w:uiPriority w:val="99"/>
    <w:semiHidden/>
    <w:rPr>
      <w:sz w:val="20"/>
      <w:szCs w:val="20"/>
    </w:rPr>
  </w:style>
  <w:style w:type="character" w:styleId="Funotenzeichen">
    <w:name w:val="footnote reference"/>
    <w:basedOn w:val="Absatz-Standardschriftart"/>
    <w:uiPriority w:val="99"/>
    <w:semiHidden/>
    <w:unhideWhenUsed/>
    <w:rPr>
      <w:vertAlign w:val="superscript"/>
    </w:rPr>
  </w:style>
  <w:style w:type="paragraph" w:styleId="Endnotentext">
    <w:name w:val="endnote text"/>
    <w:basedOn w:val="Standard"/>
    <w:link w:val="EndnotentextZchn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ntextZchn">
    <w:name w:val="Endnotentext Zchn"/>
    <w:basedOn w:val="Absatz-Standardschriftart"/>
    <w:link w:val="Endnotentext"/>
    <w:uiPriority w:val="99"/>
    <w:semiHidden/>
    <w:rPr>
      <w:sz w:val="20"/>
      <w:szCs w:val="20"/>
    </w:rPr>
  </w:style>
  <w:style w:type="character" w:styleId="Endnotenzeichen">
    <w:name w:val="endnote reference"/>
    <w:basedOn w:val="Absatz-Standardschriftart"/>
    <w:uiPriority w:val="99"/>
    <w:semiHidden/>
    <w:unhideWhenUsed/>
    <w:rPr>
      <w:vertAlign w:val="superscript"/>
    </w:rPr>
  </w:style>
  <w:style w:type="character" w:styleId="Hyperlink">
    <w:name w:val="Hyperlink"/>
    <w:basedOn w:val="Absatz-Standardschriftart"/>
    <w:uiPriority w:val="99"/>
    <w:unhideWhenUsed/>
    <w:rPr>
      <w:color w:val="0563C1" w:themeColor="hyperlink"/>
      <w:u w:val="single"/>
    </w:rPr>
  </w:style>
  <w:style w:type="character" w:styleId="BesuchterLink">
    <w:name w:val="FollowedHyperlink"/>
    <w:basedOn w:val="Absatz-Standardschriftart"/>
    <w:uiPriority w:val="99"/>
    <w:semiHidden/>
    <w:unhideWhenUsed/>
    <w:rPr>
      <w:color w:val="954F72" w:themeColor="followedHyperlink"/>
      <w:u w:val="single"/>
    </w:rPr>
  </w:style>
  <w:style w:type="paragraph" w:styleId="Verzeichnis1">
    <w:name w:val="toc 1"/>
    <w:basedOn w:val="Standard"/>
    <w:next w:val="Standard"/>
    <w:uiPriority w:val="39"/>
    <w:unhideWhenUsed/>
    <w:pPr>
      <w:spacing w:after="100"/>
    </w:pPr>
  </w:style>
  <w:style w:type="paragraph" w:styleId="Verzeichnis2">
    <w:name w:val="toc 2"/>
    <w:basedOn w:val="Standard"/>
    <w:next w:val="Standard"/>
    <w:uiPriority w:val="39"/>
    <w:unhideWhenUsed/>
    <w:pPr>
      <w:spacing w:after="100"/>
      <w:ind w:left="220"/>
    </w:pPr>
  </w:style>
  <w:style w:type="paragraph" w:styleId="Verzeichnis3">
    <w:name w:val="toc 3"/>
    <w:basedOn w:val="Standard"/>
    <w:next w:val="Standard"/>
    <w:uiPriority w:val="39"/>
    <w:unhideWhenUsed/>
    <w:pPr>
      <w:spacing w:after="100"/>
      <w:ind w:left="440"/>
    </w:pPr>
  </w:style>
  <w:style w:type="paragraph" w:styleId="Verzeichnis4">
    <w:name w:val="toc 4"/>
    <w:basedOn w:val="Standard"/>
    <w:next w:val="Standard"/>
    <w:uiPriority w:val="39"/>
    <w:unhideWhenUsed/>
    <w:pPr>
      <w:spacing w:after="100"/>
      <w:ind w:left="660"/>
    </w:pPr>
  </w:style>
  <w:style w:type="paragraph" w:styleId="Verzeichnis5">
    <w:name w:val="toc 5"/>
    <w:basedOn w:val="Standard"/>
    <w:next w:val="Standard"/>
    <w:uiPriority w:val="39"/>
    <w:unhideWhenUsed/>
    <w:pPr>
      <w:spacing w:after="100"/>
      <w:ind w:left="880"/>
    </w:pPr>
  </w:style>
  <w:style w:type="paragraph" w:styleId="Verzeichnis6">
    <w:name w:val="toc 6"/>
    <w:basedOn w:val="Standard"/>
    <w:next w:val="Standard"/>
    <w:uiPriority w:val="39"/>
    <w:unhideWhenUsed/>
    <w:pPr>
      <w:spacing w:after="100"/>
      <w:ind w:left="1100"/>
    </w:pPr>
  </w:style>
  <w:style w:type="paragraph" w:styleId="Verzeichnis7">
    <w:name w:val="toc 7"/>
    <w:basedOn w:val="Standard"/>
    <w:next w:val="Standard"/>
    <w:uiPriority w:val="39"/>
    <w:unhideWhenUsed/>
    <w:pPr>
      <w:spacing w:after="100"/>
      <w:ind w:left="1320"/>
    </w:pPr>
  </w:style>
  <w:style w:type="paragraph" w:styleId="Verzeichnis8">
    <w:name w:val="toc 8"/>
    <w:basedOn w:val="Standard"/>
    <w:next w:val="Standard"/>
    <w:uiPriority w:val="39"/>
    <w:unhideWhenUsed/>
    <w:pPr>
      <w:spacing w:after="100"/>
      <w:ind w:left="1540"/>
    </w:pPr>
  </w:style>
  <w:style w:type="paragraph" w:styleId="Verzeichnis9">
    <w:name w:val="toc 9"/>
    <w:basedOn w:val="Standard"/>
    <w:next w:val="Standard"/>
    <w:uiPriority w:val="39"/>
    <w:unhideWhenUsed/>
    <w:pPr>
      <w:spacing w:after="100"/>
      <w:ind w:left="1760"/>
    </w:pPr>
  </w:style>
  <w:style w:type="character" w:styleId="Platzhaltertext">
    <w:name w:val="Placeholder Text"/>
    <w:basedOn w:val="Absatz-Standardschriftart"/>
    <w:uiPriority w:val="99"/>
    <w:semiHidden/>
    <w:rPr>
      <w:color w:val="666666"/>
    </w:rPr>
  </w:style>
  <w:style w:type="paragraph" w:styleId="Inhaltsverzeichnisberschrift">
    <w:name w:val="TOC Heading"/>
    <w:uiPriority w:val="39"/>
    <w:unhideWhenUsed/>
  </w:style>
  <w:style w:type="paragraph" w:styleId="Abbildungsverzeichnis">
    <w:name w:val="table of figures"/>
    <w:basedOn w:val="Standard"/>
    <w:next w:val="Standard"/>
    <w:uiPriority w:val="99"/>
    <w:unhideWhenUsed/>
    <w:pPr>
      <w:spacing w:after="0"/>
    </w:pPr>
  </w:style>
  <w:style w:type="paragraph" w:styleId="KeinLeerraum">
    <w:name w:val="No Spacing"/>
    <w:basedOn w:val="Standard"/>
    <w:uiPriority w:val="1"/>
    <w:qFormat/>
    <w:pPr>
      <w:spacing w:after="0" w:line="240" w:lineRule="auto"/>
    </w:pPr>
  </w:style>
  <w:style w:type="paragraph" w:styleId="Listenabsatz">
    <w:name w:val="List Paragraph"/>
    <w:basedOn w:val="Standard"/>
    <w:uiPriority w:val="34"/>
    <w:qFormat/>
    <w:pPr>
      <w:ind w:left="720"/>
      <w:contextualSpacing/>
    </w:pPr>
  </w:style>
  <w:style w:type="paragraph" w:customStyle="1" w:styleId="FuzeileersteZeile">
    <w:name w:val="Fußzeile_erste_Zeile"/>
    <w:basedOn w:val="Fuzeile"/>
    <w:rsid w:val="00AA3308"/>
    <w:pPr>
      <w:pBdr>
        <w:top w:val="single" w:sz="12" w:space="1" w:color="808080"/>
      </w:pBdr>
      <w:tabs>
        <w:tab w:val="clear" w:pos="4844"/>
        <w:tab w:val="clear" w:pos="9689"/>
        <w:tab w:val="center" w:pos="4820"/>
        <w:tab w:val="right" w:pos="9639"/>
      </w:tabs>
      <w:overflowPunct w:val="0"/>
      <w:autoSpaceDE w:val="0"/>
      <w:autoSpaceDN w:val="0"/>
      <w:adjustRightInd w:val="0"/>
      <w:spacing w:before="100" w:beforeAutospacing="1" w:after="240" w:line="160" w:lineRule="exact"/>
      <w:jc w:val="both"/>
      <w:textAlignment w:val="baseline"/>
    </w:pPr>
    <w:rPr>
      <w:rFonts w:ascii="Segoe UI" w:eastAsia="Times New Roman" w:hAnsi="Segoe UI" w:cs="Times New Roman"/>
      <w:color w:val="000000" w:themeColor="text1"/>
      <w:sz w:val="16"/>
      <w:szCs w:val="20"/>
      <w:lang w:eastAsia="de-DE"/>
    </w:rPr>
  </w:style>
  <w:style w:type="paragraph" w:customStyle="1" w:styleId="Kopfzeilegerade">
    <w:name w:val="Kopfzeile_gerade"/>
    <w:basedOn w:val="Kopfzeile"/>
    <w:rsid w:val="00AA3308"/>
    <w:pPr>
      <w:tabs>
        <w:tab w:val="clear" w:pos="4844"/>
        <w:tab w:val="clear" w:pos="9689"/>
        <w:tab w:val="center" w:pos="4536"/>
        <w:tab w:val="right" w:pos="9072"/>
      </w:tabs>
      <w:jc w:val="right"/>
    </w:pPr>
    <w:rPr>
      <w:rFonts w:ascii="Segoe UI" w:eastAsia="Times New Roman" w:hAnsi="Segoe UI" w:cs="Times New Roman"/>
      <w:color w:val="666666" w:themeColor="text1" w:themeTint="99"/>
      <w:sz w:val="16"/>
      <w:szCs w:val="24"/>
      <w:lang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448</Words>
  <Characters>2827</Characters>
  <Application>Microsoft Office Word</Application>
  <DocSecurity>0</DocSecurity>
  <Lines>23</Lines>
  <Paragraphs>6</Paragraphs>
  <ScaleCrop>false</ScaleCrop>
  <Company/>
  <LinksUpToDate>false</LinksUpToDate>
  <CharactersWithSpaces>3269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Claudio Stanullo</dc:creator>
  <cp:lastModifiedBy>Claudio Stanullo</cp:lastModifiedBy>
  <cp:revision>3</cp:revision>
  <dcterms:created xsi:type="dcterms:W3CDTF">2026-01-28T09:01:00Z</dcterms:created>
  <dcterms:modified xsi:type="dcterms:W3CDTF">2026-01-28T09:05:00Z</dcterms:modified>
</cp:coreProperties>
</file>