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819" w:val="decimal"/>
          <w:tab w:pos="9638" w:val="right"/>
        </w:tabs>
        <w:spacing w:after="80"/>
      </w:pPr>
      <w:r>
        <w:rPr>
          <w:sz w:val="18"/>
        </w:rPr>
        <w:t>Ausgabe 1, 2026</w:t>
        <w:tab/>
        <w:t>Aktuelles in der Automobilindustrie</w:t>
        <w:tab/>
        <w:t>Nürnberg</w:t>
      </w:r>
    </w:p>
    <w:p>
      <w:pPr>
        <w:pBdr>
          <w:bottom w:val="single" w:sz="12" w:space="4" w:color="000000"/>
        </w:pBdr>
        <w:spacing w:after="120"/>
      </w:pPr>
    </w:p>
    <w:p>
      <w:pPr>
        <w:spacing w:after="80"/>
        <w:jc w:val="center"/>
      </w:pPr>
      <w:r>
        <w:rPr>
          <w:rFonts w:ascii="Georgia" w:hAnsi="Georgia"/>
          <w:b/>
          <w:sz w:val="96"/>
        </w:rPr>
        <w:t>AUTO TIMES</w:t>
      </w:r>
    </w:p>
    <w:p>
      <w:pPr>
        <w:pBdr>
          <w:bottom w:val="single" w:sz="12" w:space="4" w:color="000000"/>
        </w:pBdr>
        <w:spacing w:after="120"/>
      </w:pPr>
    </w:p>
    <w:p>
      <w:pPr>
        <w:spacing w:after="200"/>
        <w:jc w:val="center"/>
      </w:pPr>
      <w:r>
        <w:rPr>
          <w:i/>
        </w:rPr>
        <w:t>Phishing stoppt Fertigung      •      Backup? Fehlanzeige!      •      MES im Lockdown</w:t>
      </w:r>
    </w:p>
    <w:p>
      <w:pPr>
        <w:sectPr>
          <w:footerReference w:type="default" r:id="rId9"/>
          <w:pgSz w:w="12240" w:h="15840"/>
          <w:pgMar w:top="850" w:right="1020" w:bottom="850" w:left="10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sz w:val="26"/>
        </w:rPr>
        <w:t>OEM VERSCHÄRFT SECURITY-ANFORDERUNGEN</w:t>
      </w:r>
    </w:p>
    <w:p>
      <w:pPr>
        <w:spacing w:after="120"/>
      </w:pPr>
      <w:r>
        <w:rPr>
          <w:b w:val="0"/>
          <w:i w:val="0"/>
          <w:sz w:val="19"/>
        </w:rPr>
        <w:t>Stuttgart. Ein führender deutscher Automobilhersteller kündigte an, alle Tier-1- und Tier-2-Zulieferer ab Q2/2026 einem IT-Security-Audit zu unterziehen.</w:t>
      </w:r>
    </w:p>
    <w:p>
      <w:pPr>
        <w:spacing w:after="120"/>
      </w:pPr>
      <w:r>
        <w:rPr>
          <w:b w:val="0"/>
          <w:i w:val="0"/>
          <w:sz w:val="19"/>
        </w:rPr>
        <w:t>Erwartet werden belastbare Nachweise, dass Zulieferer nicht nur reagieren, sondern strukturiert vorsorgen: von der Fähigkeit, nach einem Vorfall schnell wieder anlaufen zu können, bis zur sauberen Trennung von Büro- und Fertigungsnetzen.</w:t>
      </w:r>
    </w:p>
    <w:p>
      <w:pPr>
        <w:spacing w:after="120"/>
      </w:pPr>
      <w:r>
        <w:rPr>
          <w:b w:val="0"/>
          <w:i w:val="0"/>
          <w:sz w:val="19"/>
        </w:rPr>
        <w:t>„Supply Chain Security ist geschäftskritisch", so ein Sprecher. Bei gravierenden Lücken behalte man sich vor, Aufträge zurückzustellen.</w:t>
      </w:r>
    </w:p>
    <w:p>
      <w:pPr>
        <w:spacing w:after="80"/>
      </w:pPr>
      <w:r>
        <w:rPr>
          <w:b/>
          <w:sz w:val="30"/>
        </w:rPr>
        <w:t>Ransomware legt Zulieferer tagelang lahm</w:t>
      </w:r>
    </w:p>
    <w:p>
      <w:pPr>
        <w:spacing w:after="120"/>
      </w:pPr>
      <w:r>
        <w:rPr>
          <w:b w:val="0"/>
          <w:i/>
          <w:sz w:val="18"/>
        </w:rPr>
        <w:t>Kassel, 10.01.2026</w:t>
      </w:r>
    </w:p>
    <w:p>
      <w:pPr>
        <w:spacing w:after="120"/>
      </w:pPr>
      <w:r>
        <w:rPr>
          <w:b w:val="0"/>
          <w:i w:val="0"/>
          <w:sz w:val="19"/>
        </w:rPr>
        <w:t>Ein mittelständischer Automotive Zulieferer aus Nordhessen wurde Opfer eines schweren Ransomware-Angriffs. Die Produktion stand für 72 Stunden still, der Schaden wird auf über 500.000 Euro geschätzt.</w:t>
      </w:r>
    </w:p>
    <w:p>
      <w:pPr>
        <w:spacing w:after="40"/>
      </w:pPr>
      <w:r>
        <w:rPr>
          <w:b/>
          <w:sz w:val="18"/>
        </w:rPr>
        <w:t>DER ANGRIFF</w:t>
      </w:r>
    </w:p>
    <w:p>
      <w:pPr>
        <w:spacing w:after="120"/>
      </w:pPr>
      <w:r>
        <w:rPr>
          <w:b w:val="0"/>
          <w:i w:val="0"/>
          <w:sz w:val="19"/>
        </w:rPr>
        <w:t>Laut Informationen des Unternehmens erfolgte der Einbruch über eine Phishing-Mail, die ein Mitarbeiter in der Buchhaltung öffnete. Der klassische Virenschutz des Unternehmens schlug nicht rechtzeitig Alarm. Die Erpresser-Software verschlüsselte innerhalb von 2 Stunden nicht nur Office-Daten, sondern auch das produktionssteuernde MES-System. Erst nach Stunden bemerkte die IT ungewöhnliche Aktivitäten im Netz. Zentrale Systeme waren zudem seit Monaten nicht mehr aktualisiert worden.</w:t>
      </w:r>
    </w:p>
    <w:p>
      <w:pPr>
        <w:spacing w:after="120"/>
      </w:pPr>
      <w:r>
        <w:rPr>
          <w:b w:val="0"/>
          <w:i w:val="0"/>
          <w:sz w:val="19"/>
        </w:rPr>
        <w:t>„Wir hatten kein funktionierendes Backup-Konzept", so der Geschäftsführer unter der Bedingung der Anonymität. Die Angreifer forderten ein Lösegeld von 250.000 Euro in Bitcoin.</w:t>
      </w:r>
    </w:p>
    <w:p>
      <w:pPr>
        <w:spacing w:after="40"/>
      </w:pPr>
      <w:r>
        <w:rPr>
          <w:b/>
          <w:sz w:val="18"/>
        </w:rPr>
        <w:t>FOLGEN</w:t>
      </w:r>
    </w:p>
    <w:p>
      <w:pPr>
        <w:spacing w:after="120"/>
      </w:pPr>
      <w:r>
        <w:rPr>
          <w:b w:val="0"/>
          <w:i w:val="0"/>
          <w:sz w:val="19"/>
        </w:rPr>
        <w:t>Das Unternehmen entschied sich gegen die Zahlung und setzte die Systeme mit Unterstützung externer Forensiker neu auf. Drei Fertigungslinien standen still, Liefertermine konnten nicht eingehalten werden. Ein OEM-Kunde verhängte Vertragsstrafen wegen Lieferverzugs.</w:t>
      </w:r>
    </w:p>
    <w:p>
      <w:pPr>
        <w:spacing w:after="120"/>
      </w:pPr>
      <w:r>
        <w:rPr>
          <w:b w:val="0"/>
          <w:i w:val="0"/>
          <w:sz w:val="19"/>
        </w:rPr>
        <w:t>„Auch kleine Zulieferer sind Ziele", warnt Dr. Sabine Müller vom BSI. „Angreifer wissen: Produktionsausfälle erzeugen Zahlungsbereitschaft."</w:t>
      </w:r>
    </w:p>
    <w:sectPr w:rsidR="00FC693F" w:rsidRPr="0006063C" w:rsidSect="00034616">
      <w:type w:val="continuous"/>
      <w:pgSz w:w="12240" w:h="15840"/>
      <w:pgMar w:top="850" w:right="1020" w:bottom="850" w:left="1020" w:header="720" w:footer="720" w:gutter="0"/>
      <w:cols w:space="720"/>
      <w:docGrid w:linePitch="360"/>
      <w:cols w:num="2" w:space="425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12" w:space="4" w:color="000000"/>
      </w:pBdr>
      <w:tabs>
        <w:tab w:pos="9638" w:val="right"/>
      </w:tabs>
      <w:spacing w:after="80"/>
    </w:pPr>
    <w:r>
      <w:rPr>
        <w:rFonts w:ascii="Georgia" w:hAnsi="Georgia"/>
        <w:sz w:val="18"/>
      </w:rPr>
      <w:t>Aktuelles</w:t>
      <w:tab/>
      <w:t>Seite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