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Website para divulgação dos contatos e serviços prestados.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Gestão de estoque das peças disponíveis.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Gestão de OSs.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em 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localização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novas matérias primas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novas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Evidenciar na solicitação de serviço as matérias primas utilizadas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andamento das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Orçamento solicitação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matéria prima única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Atualizar quantidade de matérias primas automaticamente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marketing deve funcionar bem em dispositivos móveis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estoque deve funcionar bem em dispositivos móveis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características e valores principais da empresa no 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Possuir menu de fácil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Matérias primas devem conter preço de venda e preço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matérias primas por quantidade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Organização solicitações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Cancelar/Remarcar visita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</w:tbl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C74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Uh2LrMUdVgWNINzXbMWrlQq0g==">AMUW2mWDT5zNy+rNFrPvdp41g8ROQqoPQ/2BWROafcQNp0moWIftJXPem/nwuFczmoNmRA4kr5u88VMqFWFf+OjuIzKysgpWrX3xqvFYsLYhp3tB9smXx42vZZtiUH7tlsLB+JzTrECNJtwTdzk5PcW43DwT2CaWZQ==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2020-11-09T11:18:00Z</dcterms:created>
</cp:coreProperties>
</file>