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BA9A42" w14:textId="77777777" w:rsidR="0008103D" w:rsidRPr="00B44C5A" w:rsidRDefault="000D4A9F" w:rsidP="000D4A9F">
      <w:pPr>
        <w:jc w:val="center"/>
        <w:rPr>
          <w:rFonts w:ascii="Century Gothic" w:hAnsi="Century Gothic"/>
          <w:b/>
          <w:lang w:val="en-US"/>
        </w:rPr>
      </w:pPr>
      <w:r w:rsidRPr="00B44C5A">
        <w:rPr>
          <w:rFonts w:ascii="Century Gothic" w:hAnsi="Century Gothic"/>
          <w:b/>
          <w:lang w:val="en-US"/>
        </w:rPr>
        <w:t>Supplementary Material for:</w:t>
      </w:r>
    </w:p>
    <w:p w14:paraId="0BBCA3E8" w14:textId="77777777" w:rsidR="000D4A9F" w:rsidRPr="00B44C5A" w:rsidRDefault="000D4A9F" w:rsidP="000D4A9F">
      <w:pPr>
        <w:spacing w:line="360" w:lineRule="auto"/>
        <w:jc w:val="center"/>
        <w:rPr>
          <w:rFonts w:ascii="Century Gothic" w:hAnsi="Century Gothic" w:cstheme="minorHAnsi"/>
          <w:b/>
        </w:rPr>
      </w:pPr>
      <w:r w:rsidRPr="00B44C5A">
        <w:rPr>
          <w:rFonts w:ascii="Century Gothic" w:hAnsi="Century Gothic" w:cstheme="minorHAnsi"/>
          <w:b/>
        </w:rPr>
        <w:t xml:space="preserve">A LUCAS-based fine soil bulk density assessment in Europe </w:t>
      </w:r>
    </w:p>
    <w:p w14:paraId="5EE8AB29" w14:textId="2086CC26" w:rsidR="000D4A9F" w:rsidRPr="00B44C5A" w:rsidRDefault="00333BE4">
      <w:pPr>
        <w:rPr>
          <w:rFonts w:ascii="Century Gothic" w:hAnsi="Century Gothic"/>
        </w:rPr>
      </w:pPr>
      <w:r>
        <w:rPr>
          <w:rFonts w:ascii="Century Gothic" w:hAnsi="Century Gothic"/>
        </w:rPr>
        <w:t>This supplementary material includes additional information for the paper.</w:t>
      </w:r>
    </w:p>
    <w:p w14:paraId="32B07758" w14:textId="77777777" w:rsidR="00B44C5A" w:rsidRPr="00B44C5A" w:rsidRDefault="00B44C5A" w:rsidP="00B44C5A">
      <w:pPr>
        <w:spacing w:line="360" w:lineRule="auto"/>
        <w:jc w:val="both"/>
        <w:rPr>
          <w:rFonts w:ascii="Century Gothic" w:hAnsi="Century Gothic"/>
          <w:lang w:val="is-IS" w:eastAsia="ja-JP"/>
        </w:rPr>
      </w:pPr>
      <w:r w:rsidRPr="00B44C5A">
        <w:rPr>
          <w:rFonts w:ascii="Century Gothic" w:hAnsi="Century Gothic"/>
          <w:noProof/>
          <w:lang w:val="en-US"/>
        </w:rPr>
        <w:drawing>
          <wp:inline distT="0" distB="0" distL="0" distR="0" wp14:anchorId="2D90942F" wp14:editId="1E919E47">
            <wp:extent cx="5943600" cy="2857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1.PNG"/>
                    <pic:cNvPicPr/>
                  </pic:nvPicPr>
                  <pic:blipFill>
                    <a:blip r:embed="rId4">
                      <a:extLst>
                        <a:ext uri="{28A0092B-C50C-407E-A947-70E740481C1C}">
                          <a14:useLocalDpi xmlns:a14="http://schemas.microsoft.com/office/drawing/2010/main" val="0"/>
                        </a:ext>
                      </a:extLst>
                    </a:blip>
                    <a:stretch>
                      <a:fillRect/>
                    </a:stretch>
                  </pic:blipFill>
                  <pic:spPr>
                    <a:xfrm>
                      <a:off x="0" y="0"/>
                      <a:ext cx="5943600" cy="2857500"/>
                    </a:xfrm>
                    <a:prstGeom prst="rect">
                      <a:avLst/>
                    </a:prstGeom>
                  </pic:spPr>
                </pic:pic>
              </a:graphicData>
            </a:graphic>
          </wp:inline>
        </w:drawing>
      </w:r>
    </w:p>
    <w:p w14:paraId="36DF3F6A" w14:textId="40755A7D" w:rsidR="00B44C5A" w:rsidRPr="00B44C5A" w:rsidRDefault="00B44C5A" w:rsidP="00B44C5A">
      <w:pPr>
        <w:spacing w:line="360" w:lineRule="auto"/>
        <w:jc w:val="both"/>
        <w:rPr>
          <w:rFonts w:ascii="Century Gothic" w:hAnsi="Century Gothic"/>
          <w:lang w:eastAsia="ja-JP"/>
        </w:rPr>
      </w:pPr>
      <w:r w:rsidRPr="00B44C5A">
        <w:rPr>
          <w:rFonts w:ascii="Century Gothic" w:hAnsi="Century Gothic"/>
          <w:b/>
          <w:lang w:eastAsia="ja-JP"/>
        </w:rPr>
        <w:t>Fig. S1</w:t>
      </w:r>
      <w:r w:rsidRPr="00B44C5A">
        <w:rPr>
          <w:rFonts w:ascii="Century Gothic" w:hAnsi="Century Gothic"/>
          <w:lang w:eastAsia="ja-JP"/>
        </w:rPr>
        <w:t>: Summary of the bulk density sampling during LUCAS Soil Survey.</w:t>
      </w:r>
      <w:r>
        <w:rPr>
          <w:rFonts w:ascii="Century Gothic" w:hAnsi="Century Gothic"/>
          <w:lang w:eastAsia="ja-JP"/>
        </w:rPr>
        <w:t xml:space="preserve"> </w:t>
      </w:r>
      <w:r w:rsidRPr="00B44C5A">
        <w:rPr>
          <w:rFonts w:ascii="Century Gothic" w:hAnsi="Century Gothic"/>
          <w:lang w:eastAsia="ja-JP"/>
        </w:rPr>
        <w:t>Before taking the soil cores, stones (&gt;6 cm), vegetation residues, grass and litter were removed from soil surface by raking with the spade as in the common sampling procedure. After the cleaning of the soil surface, five soil cores were taken from 0 to 10 cm depth with a metallic ring of 100 cm</w:t>
      </w:r>
      <w:r w:rsidRPr="00B44C5A">
        <w:rPr>
          <w:rFonts w:ascii="Century Gothic" w:hAnsi="Century Gothic"/>
          <w:vertAlign w:val="superscript"/>
          <w:lang w:eastAsia="ja-JP"/>
        </w:rPr>
        <w:t>3</w:t>
      </w:r>
      <w:r w:rsidRPr="00B44C5A">
        <w:rPr>
          <w:rFonts w:ascii="Century Gothic" w:hAnsi="Century Gothic"/>
          <w:lang w:eastAsia="ja-JP"/>
        </w:rPr>
        <w:t xml:space="preserve"> at each LUCAS point</w:t>
      </w:r>
      <w:r>
        <w:rPr>
          <w:rFonts w:ascii="Century Gothic" w:hAnsi="Century Gothic"/>
          <w:lang w:eastAsia="ja-JP"/>
        </w:rPr>
        <w:t xml:space="preserve">. </w:t>
      </w:r>
      <w:r w:rsidRPr="00B44C5A">
        <w:rPr>
          <w:rFonts w:ascii="Century Gothic" w:hAnsi="Century Gothic"/>
          <w:lang w:eastAsia="ja-JP"/>
        </w:rPr>
        <w:t xml:space="preserve">As shown in Figure </w:t>
      </w:r>
      <w:r>
        <w:rPr>
          <w:rFonts w:ascii="Century Gothic" w:hAnsi="Century Gothic"/>
          <w:lang w:eastAsia="ja-JP"/>
        </w:rPr>
        <w:t>S1</w:t>
      </w:r>
      <w:r w:rsidRPr="00B44C5A">
        <w:rPr>
          <w:rFonts w:ascii="Century Gothic" w:hAnsi="Century Gothic"/>
          <w:lang w:eastAsia="ja-JP"/>
        </w:rPr>
        <w:t>, a metallic ring was gently driven into soil using a wooden block to push the ring with a mallet. This avoided the compaction of soil. The ring was removed from soil with the help of a spade placed underneath the ring. The excess soil around the ring was removed with a knife and the soil core was pushed into a labelled plastic bag</w:t>
      </w:r>
      <w:r>
        <w:rPr>
          <w:rFonts w:ascii="Century Gothic" w:hAnsi="Century Gothic"/>
          <w:lang w:eastAsia="ja-JP"/>
        </w:rPr>
        <w:t xml:space="preserve">. </w:t>
      </w:r>
      <w:r w:rsidRPr="00B44C5A">
        <w:rPr>
          <w:rFonts w:ascii="Century Gothic" w:hAnsi="Century Gothic"/>
          <w:lang w:eastAsia="ja-JP"/>
        </w:rPr>
        <w:t>The procedure was repeated in the four cardinal directions and the soil cores collected were placed in the same labelled plastic bag. In the end, five soil cores of known volume were taken at the 0 to 10-cm depth</w:t>
      </w:r>
      <w:r>
        <w:rPr>
          <w:rFonts w:ascii="Century Gothic" w:hAnsi="Century Gothic"/>
          <w:lang w:eastAsia="ja-JP"/>
        </w:rPr>
        <w:t xml:space="preserve"> (Fig. S1 - first row)</w:t>
      </w:r>
      <w:r w:rsidRPr="00B44C5A">
        <w:rPr>
          <w:rFonts w:ascii="Century Gothic" w:hAnsi="Century Gothic"/>
          <w:lang w:eastAsia="ja-JP"/>
        </w:rPr>
        <w:t xml:space="preserve">. </w:t>
      </w:r>
      <w:r>
        <w:rPr>
          <w:rFonts w:ascii="Century Gothic" w:hAnsi="Century Gothic"/>
          <w:lang w:eastAsia="ja-JP"/>
        </w:rPr>
        <w:t xml:space="preserve"> </w:t>
      </w:r>
      <w:r w:rsidRPr="00B44C5A">
        <w:rPr>
          <w:rFonts w:ascii="Century Gothic" w:hAnsi="Century Gothic"/>
          <w:lang w:eastAsia="ja-JP"/>
        </w:rPr>
        <w:t>After sampling the 0-10 cm depth was completed, the sampling of soil cores in the 10</w:t>
      </w:r>
      <w:r>
        <w:rPr>
          <w:rFonts w:ascii="Century Gothic" w:hAnsi="Century Gothic"/>
          <w:lang w:eastAsia="ja-JP"/>
        </w:rPr>
        <w:t>-</w:t>
      </w:r>
      <w:r w:rsidRPr="00B44C5A">
        <w:rPr>
          <w:rFonts w:ascii="Century Gothic" w:hAnsi="Century Gothic"/>
          <w:lang w:eastAsia="ja-JP"/>
        </w:rPr>
        <w:t>20</w:t>
      </w:r>
      <w:r>
        <w:rPr>
          <w:rFonts w:ascii="Century Gothic" w:hAnsi="Century Gothic"/>
          <w:lang w:eastAsia="ja-JP"/>
        </w:rPr>
        <w:t xml:space="preserve"> </w:t>
      </w:r>
      <w:r w:rsidRPr="00B44C5A">
        <w:rPr>
          <w:rFonts w:ascii="Century Gothic" w:hAnsi="Century Gothic"/>
          <w:lang w:eastAsia="ja-JP"/>
        </w:rPr>
        <w:t>cm depth was carried out following the same procedure (</w:t>
      </w:r>
      <w:r>
        <w:rPr>
          <w:rFonts w:ascii="Century Gothic" w:hAnsi="Century Gothic"/>
          <w:lang w:eastAsia="ja-JP"/>
        </w:rPr>
        <w:t>Fig. s1 – second row</w:t>
      </w:r>
      <w:r w:rsidRPr="00B44C5A">
        <w:rPr>
          <w:rFonts w:ascii="Century Gothic" w:hAnsi="Century Gothic"/>
          <w:lang w:eastAsia="ja-JP"/>
        </w:rPr>
        <w:t xml:space="preserve">). </w:t>
      </w:r>
      <w:r>
        <w:rPr>
          <w:rFonts w:ascii="Century Gothic" w:hAnsi="Century Gothic"/>
          <w:lang w:eastAsia="ja-JP"/>
        </w:rPr>
        <w:t xml:space="preserve">Labels have been added to both samples. </w:t>
      </w:r>
      <w:r w:rsidRPr="00B44C5A">
        <w:rPr>
          <w:rFonts w:ascii="Century Gothic" w:hAnsi="Century Gothic"/>
          <w:lang w:eastAsia="ja-JP"/>
        </w:rPr>
        <w:t>The soil cores were then allowed to air-dry and their weight was again recoded. The plastic bags were then sealed for their transportation to the laboratory</w:t>
      </w:r>
      <w:r>
        <w:rPr>
          <w:rFonts w:ascii="Century Gothic" w:hAnsi="Century Gothic"/>
          <w:lang w:eastAsia="ja-JP"/>
        </w:rPr>
        <w:t xml:space="preserve"> following the analysis</w:t>
      </w:r>
      <w:r w:rsidRPr="00B44C5A">
        <w:rPr>
          <w:rFonts w:ascii="Century Gothic" w:hAnsi="Century Gothic"/>
          <w:lang w:eastAsia="ja-JP"/>
        </w:rPr>
        <w:t xml:space="preserve">.  </w:t>
      </w:r>
    </w:p>
    <w:p w14:paraId="3ABD3E7E" w14:textId="09133B9F" w:rsidR="00B44C5A" w:rsidRPr="00B44C5A" w:rsidRDefault="00B44C5A">
      <w:pPr>
        <w:rPr>
          <w:rFonts w:ascii="Century Gothic" w:hAnsi="Century Gothic"/>
        </w:rPr>
      </w:pPr>
    </w:p>
    <w:p w14:paraId="41E3000E" w14:textId="3C85E2E4" w:rsidR="00B44C5A" w:rsidRPr="00B44C5A" w:rsidRDefault="00B44C5A">
      <w:pPr>
        <w:rPr>
          <w:rFonts w:ascii="Century Gothic" w:hAnsi="Century Gothic"/>
        </w:rPr>
      </w:pPr>
    </w:p>
    <w:p w14:paraId="775E1B71" w14:textId="77777777" w:rsidR="00B44C5A" w:rsidRPr="00B44C5A" w:rsidRDefault="00B44C5A">
      <w:pPr>
        <w:rPr>
          <w:rFonts w:ascii="Century Gothic" w:hAnsi="Century Gothic"/>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0E347B" w:rsidRPr="00B44C5A" w14:paraId="7CD72BA7" w14:textId="77777777" w:rsidTr="000E347B">
        <w:tc>
          <w:tcPr>
            <w:tcW w:w="4675" w:type="dxa"/>
          </w:tcPr>
          <w:p w14:paraId="1EFB205C" w14:textId="77777777" w:rsidR="000E347B" w:rsidRPr="00B44C5A" w:rsidRDefault="000E347B">
            <w:pPr>
              <w:rPr>
                <w:rFonts w:ascii="Century Gothic" w:hAnsi="Century Gothic"/>
              </w:rPr>
            </w:pPr>
            <w:r w:rsidRPr="00B44C5A">
              <w:rPr>
                <w:rFonts w:ascii="Century Gothic" w:hAnsi="Century Gothic"/>
                <w:noProof/>
                <w:lang w:val="en-US"/>
              </w:rPr>
              <w:drawing>
                <wp:inline distT="0" distB="0" distL="0" distR="0" wp14:anchorId="7D31DE8C" wp14:editId="7D3399DD">
                  <wp:extent cx="2966459" cy="341111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ulk_Drensity_0-10.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74547" cy="3420410"/>
                          </a:xfrm>
                          <a:prstGeom prst="rect">
                            <a:avLst/>
                          </a:prstGeom>
                        </pic:spPr>
                      </pic:pic>
                    </a:graphicData>
                  </a:graphic>
                </wp:inline>
              </w:drawing>
            </w:r>
          </w:p>
        </w:tc>
        <w:tc>
          <w:tcPr>
            <w:tcW w:w="4675" w:type="dxa"/>
          </w:tcPr>
          <w:p w14:paraId="23152272" w14:textId="77777777" w:rsidR="000E347B" w:rsidRPr="00B44C5A" w:rsidRDefault="000E347B">
            <w:pPr>
              <w:rPr>
                <w:rFonts w:ascii="Century Gothic" w:hAnsi="Century Gothic"/>
              </w:rPr>
            </w:pPr>
            <w:r w:rsidRPr="00B44C5A">
              <w:rPr>
                <w:rFonts w:ascii="Century Gothic" w:hAnsi="Century Gothic"/>
                <w:noProof/>
                <w:lang w:val="en-US"/>
              </w:rPr>
              <w:drawing>
                <wp:inline distT="0" distB="0" distL="0" distR="0" wp14:anchorId="3FA2C0FA" wp14:editId="61D1FCE0">
                  <wp:extent cx="2966002" cy="341058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ulk_Drensity_10-20.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71514" cy="3416923"/>
                          </a:xfrm>
                          <a:prstGeom prst="rect">
                            <a:avLst/>
                          </a:prstGeom>
                        </pic:spPr>
                      </pic:pic>
                    </a:graphicData>
                  </a:graphic>
                </wp:inline>
              </w:drawing>
            </w:r>
          </w:p>
        </w:tc>
      </w:tr>
    </w:tbl>
    <w:p w14:paraId="65B2A75E" w14:textId="77777777" w:rsidR="000E347B" w:rsidRPr="00B44C5A" w:rsidRDefault="000E347B">
      <w:pPr>
        <w:rPr>
          <w:rFonts w:ascii="Century Gothic" w:hAnsi="Century Gothic"/>
        </w:rPr>
      </w:pPr>
    </w:p>
    <w:p w14:paraId="11CBAB2D" w14:textId="63E4F59A" w:rsidR="000E347B" w:rsidRPr="00B44C5A" w:rsidRDefault="000E347B">
      <w:pPr>
        <w:rPr>
          <w:rFonts w:ascii="Century Gothic" w:hAnsi="Century Gothic"/>
        </w:rPr>
      </w:pPr>
      <w:r w:rsidRPr="00B44C5A">
        <w:rPr>
          <w:rFonts w:ascii="Century Gothic" w:hAnsi="Century Gothic"/>
          <w:b/>
        </w:rPr>
        <w:t>Fig</w:t>
      </w:r>
      <w:r w:rsidR="00B44C5A">
        <w:rPr>
          <w:rFonts w:ascii="Century Gothic" w:hAnsi="Century Gothic"/>
          <w:b/>
        </w:rPr>
        <w:t xml:space="preserve">. </w:t>
      </w:r>
      <w:r w:rsidRPr="00B44C5A">
        <w:rPr>
          <w:rFonts w:ascii="Century Gothic" w:hAnsi="Century Gothic"/>
          <w:b/>
        </w:rPr>
        <w:t>S</w:t>
      </w:r>
      <w:r w:rsidR="00B44C5A">
        <w:rPr>
          <w:rFonts w:ascii="Century Gothic" w:hAnsi="Century Gothic"/>
          <w:b/>
        </w:rPr>
        <w:t>2</w:t>
      </w:r>
      <w:r w:rsidRPr="00B44C5A">
        <w:rPr>
          <w:rFonts w:ascii="Century Gothic" w:hAnsi="Century Gothic"/>
        </w:rPr>
        <w:t xml:space="preserve">: Bulk density </w:t>
      </w:r>
      <w:r w:rsidR="007E3E03" w:rsidRPr="00B44C5A">
        <w:rPr>
          <w:rFonts w:ascii="Century Gothic" w:hAnsi="Century Gothic"/>
        </w:rPr>
        <w:t xml:space="preserve">for the depth </w:t>
      </w:r>
      <w:r w:rsidRPr="00B44C5A">
        <w:rPr>
          <w:rFonts w:ascii="Century Gothic" w:hAnsi="Century Gothic"/>
        </w:rPr>
        <w:t>0-10cm and bulk density</w:t>
      </w:r>
      <w:r w:rsidR="007E3E03" w:rsidRPr="00B44C5A">
        <w:rPr>
          <w:rFonts w:ascii="Century Gothic" w:hAnsi="Century Gothic"/>
        </w:rPr>
        <w:t xml:space="preserve"> for </w:t>
      </w:r>
      <w:r w:rsidR="00853542" w:rsidRPr="00B44C5A">
        <w:rPr>
          <w:rFonts w:ascii="Century Gothic" w:hAnsi="Century Gothic"/>
        </w:rPr>
        <w:t xml:space="preserve">the </w:t>
      </w:r>
      <w:r w:rsidR="007E3E03" w:rsidRPr="00B44C5A">
        <w:rPr>
          <w:rFonts w:ascii="Century Gothic" w:hAnsi="Century Gothic"/>
        </w:rPr>
        <w:t>depth</w:t>
      </w:r>
      <w:r w:rsidRPr="00B44C5A">
        <w:rPr>
          <w:rFonts w:ascii="Century Gothic" w:hAnsi="Century Gothic"/>
        </w:rPr>
        <w:t xml:space="preserve"> 10-20cm</w:t>
      </w:r>
      <w:r w:rsidR="007E3E03" w:rsidRPr="00B44C5A">
        <w:rPr>
          <w:rFonts w:ascii="Century Gothic" w:hAnsi="Century Gothic"/>
        </w:rPr>
        <w:t>.</w:t>
      </w:r>
    </w:p>
    <w:p w14:paraId="4D7291A6" w14:textId="77777777" w:rsidR="007E3E03" w:rsidRPr="00B44C5A" w:rsidRDefault="007E3E03">
      <w:pPr>
        <w:rPr>
          <w:rFonts w:ascii="Century Gothic" w:hAnsi="Century Gothic"/>
        </w:rPr>
      </w:pPr>
    </w:p>
    <w:p w14:paraId="3F4A5EE7" w14:textId="77777777" w:rsidR="007E3E03" w:rsidRPr="00B44C5A" w:rsidRDefault="00F02745">
      <w:pPr>
        <w:rPr>
          <w:rFonts w:ascii="Century Gothic" w:hAnsi="Century Gothic"/>
        </w:rPr>
      </w:pPr>
      <w:r w:rsidRPr="00B44C5A">
        <w:rPr>
          <w:rFonts w:ascii="Century Gothic" w:hAnsi="Century Gothic"/>
          <w:noProof/>
          <w:lang w:val="en-US"/>
        </w:rPr>
        <w:lastRenderedPageBreak/>
        <w:drawing>
          <wp:inline distT="0" distB="0" distL="0" distR="0" wp14:anchorId="4FDF1735" wp14:editId="3C8A336E">
            <wp:extent cx="5082393" cy="5844209"/>
            <wp:effectExtent l="0" t="0" r="444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 S2 - Ration BD 10 to 20.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83293" cy="5845244"/>
                    </a:xfrm>
                    <a:prstGeom prst="rect">
                      <a:avLst/>
                    </a:prstGeom>
                  </pic:spPr>
                </pic:pic>
              </a:graphicData>
            </a:graphic>
          </wp:inline>
        </w:drawing>
      </w:r>
    </w:p>
    <w:p w14:paraId="23279657" w14:textId="11C30766" w:rsidR="000D4A9F" w:rsidRPr="00B44C5A" w:rsidRDefault="007E3E03">
      <w:pPr>
        <w:rPr>
          <w:rFonts w:ascii="Century Gothic" w:hAnsi="Century Gothic"/>
        </w:rPr>
      </w:pPr>
      <w:r w:rsidRPr="00B44C5A">
        <w:rPr>
          <w:rFonts w:ascii="Century Gothic" w:hAnsi="Century Gothic"/>
          <w:b/>
        </w:rPr>
        <w:t>Fig. S</w:t>
      </w:r>
      <w:r w:rsidR="00B44C5A">
        <w:rPr>
          <w:rFonts w:ascii="Century Gothic" w:hAnsi="Century Gothic"/>
          <w:b/>
        </w:rPr>
        <w:t>3</w:t>
      </w:r>
      <w:r w:rsidRPr="00B44C5A">
        <w:rPr>
          <w:rFonts w:ascii="Century Gothic" w:hAnsi="Century Gothic"/>
        </w:rPr>
        <w:t>: Ratio of Bulk Density (BD) depth 10-20cm to BD 0-10cm.</w:t>
      </w:r>
    </w:p>
    <w:p w14:paraId="40BF59F4" w14:textId="77777777" w:rsidR="001B0000" w:rsidRPr="00B44C5A" w:rsidRDefault="001B0000">
      <w:pPr>
        <w:rPr>
          <w:rFonts w:ascii="Century Gothic" w:hAnsi="Century Gothic"/>
        </w:rPr>
      </w:pPr>
    </w:p>
    <w:p w14:paraId="5B246108" w14:textId="27CC60B4" w:rsidR="00C81835" w:rsidRDefault="00C81835">
      <w:pPr>
        <w:rPr>
          <w:rFonts w:ascii="Century Gothic" w:hAnsi="Century Gothic"/>
        </w:rPr>
      </w:pPr>
    </w:p>
    <w:p w14:paraId="66A6AAD6" w14:textId="6FFC9B1E" w:rsidR="00C81835" w:rsidRDefault="00C81835">
      <w:pPr>
        <w:rPr>
          <w:rFonts w:ascii="Century Gothic" w:hAnsi="Century Gothic"/>
        </w:rPr>
      </w:pPr>
      <w:r>
        <w:rPr>
          <w:rFonts w:ascii="Century Gothic" w:hAnsi="Century Gothic"/>
          <w:noProof/>
        </w:rPr>
        <w:lastRenderedPageBreak/>
        <w:drawing>
          <wp:inline distT="0" distB="0" distL="0" distR="0" wp14:anchorId="1FB2BD0C" wp14:editId="70906EEE">
            <wp:extent cx="5943600" cy="68345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5. Packing density Arabl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834505"/>
                    </a:xfrm>
                    <a:prstGeom prst="rect">
                      <a:avLst/>
                    </a:prstGeom>
                  </pic:spPr>
                </pic:pic>
              </a:graphicData>
            </a:graphic>
          </wp:inline>
        </w:drawing>
      </w:r>
    </w:p>
    <w:p w14:paraId="0E17CC32" w14:textId="3AB1BF90" w:rsidR="00C81835" w:rsidRDefault="00C81835" w:rsidP="00C81835">
      <w:pPr>
        <w:spacing w:after="0" w:line="360" w:lineRule="auto"/>
        <w:jc w:val="both"/>
        <w:rPr>
          <w:rFonts w:ascii="Century Gothic" w:hAnsi="Century Gothic"/>
          <w:lang w:eastAsia="ja-JP"/>
        </w:rPr>
      </w:pPr>
      <w:r w:rsidRPr="00C81835">
        <w:rPr>
          <w:rFonts w:ascii="Century Gothic" w:hAnsi="Century Gothic"/>
          <w:b/>
        </w:rPr>
        <w:t>Fig. S</w:t>
      </w:r>
      <w:r>
        <w:rPr>
          <w:rFonts w:ascii="Century Gothic" w:hAnsi="Century Gothic"/>
          <w:b/>
        </w:rPr>
        <w:t>4</w:t>
      </w:r>
      <w:r>
        <w:rPr>
          <w:rFonts w:ascii="Century Gothic" w:hAnsi="Century Gothic"/>
        </w:rPr>
        <w:t xml:space="preserve">.  </w:t>
      </w:r>
      <w:r>
        <w:rPr>
          <w:rFonts w:ascii="Century Gothic" w:hAnsi="Century Gothic"/>
          <w:lang w:eastAsia="ja-JP"/>
        </w:rPr>
        <w:t xml:space="preserve">Packing density in arable lands based on equation of Jones et al. (2003). </w:t>
      </w:r>
    </w:p>
    <w:p w14:paraId="6BA578D7" w14:textId="77777777" w:rsidR="00C81835" w:rsidRPr="00B44C5A" w:rsidRDefault="00C81835" w:rsidP="00C81835">
      <w:pPr>
        <w:rPr>
          <w:rFonts w:ascii="Century Gothic" w:hAnsi="Century Gothic"/>
        </w:rPr>
      </w:pPr>
      <w:r w:rsidRPr="00B44C5A">
        <w:rPr>
          <w:rFonts w:ascii="Century Gothic" w:hAnsi="Century Gothic"/>
          <w:noProof/>
          <w:lang w:val="en-US"/>
        </w:rPr>
        <w:lastRenderedPageBreak/>
        <w:drawing>
          <wp:inline distT="0" distB="0" distL="0" distR="0" wp14:anchorId="6270B506" wp14:editId="18DD8A3D">
            <wp:extent cx="5943600" cy="68592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mparison with SoilGrids1.PNG"/>
                    <pic:cNvPicPr/>
                  </pic:nvPicPr>
                  <pic:blipFill>
                    <a:blip r:embed="rId9">
                      <a:extLst>
                        <a:ext uri="{28A0092B-C50C-407E-A947-70E740481C1C}">
                          <a14:useLocalDpi xmlns:a14="http://schemas.microsoft.com/office/drawing/2010/main" val="0"/>
                        </a:ext>
                      </a:extLst>
                    </a:blip>
                    <a:stretch>
                      <a:fillRect/>
                    </a:stretch>
                  </pic:blipFill>
                  <pic:spPr>
                    <a:xfrm>
                      <a:off x="0" y="0"/>
                      <a:ext cx="5943600" cy="6859270"/>
                    </a:xfrm>
                    <a:prstGeom prst="rect">
                      <a:avLst/>
                    </a:prstGeom>
                  </pic:spPr>
                </pic:pic>
              </a:graphicData>
            </a:graphic>
          </wp:inline>
        </w:drawing>
      </w:r>
    </w:p>
    <w:p w14:paraId="4619AF8E" w14:textId="42B9D521" w:rsidR="00C81835" w:rsidRDefault="00C81835" w:rsidP="00C81835">
      <w:pPr>
        <w:rPr>
          <w:rFonts w:ascii="Century Gothic" w:hAnsi="Century Gothic"/>
        </w:rPr>
      </w:pPr>
      <w:r w:rsidRPr="00B44C5A">
        <w:rPr>
          <w:rFonts w:ascii="Century Gothic" w:hAnsi="Century Gothic"/>
          <w:b/>
        </w:rPr>
        <w:t>Fig. S</w:t>
      </w:r>
      <w:r>
        <w:rPr>
          <w:rFonts w:ascii="Century Gothic" w:hAnsi="Century Gothic"/>
          <w:b/>
        </w:rPr>
        <w:t>5</w:t>
      </w:r>
      <w:r w:rsidRPr="00B44C5A">
        <w:rPr>
          <w:rFonts w:ascii="Century Gothic" w:hAnsi="Century Gothic"/>
        </w:rPr>
        <w:t xml:space="preserve">: Bulk density assessments </w:t>
      </w:r>
      <w:r w:rsidR="00E92FBC">
        <w:rPr>
          <w:rFonts w:ascii="Century Gothic" w:hAnsi="Century Gothic"/>
        </w:rPr>
        <w:t>0-20cm</w:t>
      </w:r>
      <w:bookmarkStart w:id="0" w:name="_GoBack"/>
      <w:bookmarkEnd w:id="0"/>
      <w:r w:rsidR="00E92FBC">
        <w:rPr>
          <w:rFonts w:ascii="Century Gothic" w:hAnsi="Century Gothic"/>
        </w:rPr>
        <w:t xml:space="preserve"> </w:t>
      </w:r>
      <w:r w:rsidRPr="00B44C5A">
        <w:rPr>
          <w:rFonts w:ascii="Century Gothic" w:hAnsi="Century Gothic"/>
        </w:rPr>
        <w:t xml:space="preserve">a) upper left </w:t>
      </w:r>
      <w:proofErr w:type="spellStart"/>
      <w:r w:rsidRPr="00B44C5A">
        <w:rPr>
          <w:rFonts w:ascii="Century Gothic" w:hAnsi="Century Gothic"/>
        </w:rPr>
        <w:t>Ballabio</w:t>
      </w:r>
      <w:proofErr w:type="spellEnd"/>
      <w:r w:rsidRPr="00B44C5A">
        <w:rPr>
          <w:rFonts w:ascii="Century Gothic" w:hAnsi="Century Gothic"/>
        </w:rPr>
        <w:t xml:space="preserve"> et al., 2016; b) upper right Hengl et al., 2017; c) bottom left </w:t>
      </w:r>
      <w:proofErr w:type="spellStart"/>
      <w:r w:rsidRPr="00B44C5A">
        <w:rPr>
          <w:rFonts w:ascii="Century Gothic" w:hAnsi="Century Gothic"/>
        </w:rPr>
        <w:t>Poggio</w:t>
      </w:r>
      <w:proofErr w:type="spellEnd"/>
      <w:r w:rsidRPr="00B44C5A">
        <w:rPr>
          <w:rFonts w:ascii="Century Gothic" w:hAnsi="Century Gothic"/>
        </w:rPr>
        <w:t xml:space="preserve"> et al., 2021; d) current study </w:t>
      </w:r>
    </w:p>
    <w:p w14:paraId="48D7B513" w14:textId="0738CF0F" w:rsidR="00C81835" w:rsidRPr="00B44C5A" w:rsidRDefault="00C81835">
      <w:pPr>
        <w:rPr>
          <w:rFonts w:ascii="Century Gothic" w:hAnsi="Century Gothic"/>
        </w:rPr>
      </w:pPr>
    </w:p>
    <w:sectPr w:rsidR="00C81835" w:rsidRPr="00B44C5A" w:rsidSect="006369B1">
      <w:type w:val="continuous"/>
      <w:pgSz w:w="12240" w:h="15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A9F"/>
    <w:rsid w:val="0008103D"/>
    <w:rsid w:val="000D4A9F"/>
    <w:rsid w:val="000E347B"/>
    <w:rsid w:val="001B0000"/>
    <w:rsid w:val="00246100"/>
    <w:rsid w:val="002F2F4C"/>
    <w:rsid w:val="00333BE4"/>
    <w:rsid w:val="006369B1"/>
    <w:rsid w:val="007148B8"/>
    <w:rsid w:val="007E3E03"/>
    <w:rsid w:val="00853542"/>
    <w:rsid w:val="00891D94"/>
    <w:rsid w:val="00B44C5A"/>
    <w:rsid w:val="00B93578"/>
    <w:rsid w:val="00C81835"/>
    <w:rsid w:val="00DB1965"/>
    <w:rsid w:val="00E92FBC"/>
    <w:rsid w:val="00F02745"/>
    <w:rsid w:val="00F80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6D01F"/>
  <w15:chartTrackingRefBased/>
  <w15:docId w15:val="{5B353ECE-202E-4AA0-9062-6022469B6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E3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53542"/>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291</Words>
  <Characters>1664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IES - JRC</Company>
  <LinksUpToDate>false</LinksUpToDate>
  <CharactersWithSpaces>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Panos PANAGOS</dc:creator>
  <cp:keywords/>
  <dc:description/>
  <cp:lastModifiedBy>PANAGOS Panos (JRC-ISPRA)</cp:lastModifiedBy>
  <cp:revision>9</cp:revision>
  <dcterms:created xsi:type="dcterms:W3CDTF">2023-08-30T07:59:00Z</dcterms:created>
  <dcterms:modified xsi:type="dcterms:W3CDTF">2023-12-21T14:41:00Z</dcterms:modified>
</cp:coreProperties>
</file>