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Default="00645670" w:rsidP="00B823DE">
      <w:pPr>
        <w:ind w:firstLine="720"/>
        <w:rPr>
          <w:sz w:val="24"/>
          <w:szCs w:val="24"/>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Proiect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Bazele de date reprezinta colectii de date. In literature de specialitate o baza de date se refera la intregul sistem de gestiune a bazei de date, insa la nivelul acestui proiect acest termen va referi strict colectia de date. Bazele de date au fost create din dorinta de a stoca si gasi cu usurinta date intr-un mod simplu si eficient. De-a lungul timpului, s-au dezvoltat 2 tipuri de arhitecturi de baze de date, SQL si NoSQL. Diferenta dintre acestea este modul de stocare a informatiei si modul de interogare a bazei de date.</w:t>
      </w:r>
    </w:p>
    <w:p w:rsidR="00B823DE" w:rsidRPr="00645670" w:rsidRDefault="003F6056" w:rsidP="008C259C">
      <w:pPr>
        <w:jc w:val="both"/>
        <w:rPr>
          <w:sz w:val="24"/>
          <w:szCs w:val="24"/>
        </w:rPr>
      </w:pPr>
      <w:r w:rsidRPr="00645670">
        <w:rPr>
          <w:sz w:val="24"/>
          <w:szCs w:val="24"/>
        </w:rPr>
        <w:tab/>
        <w:t>In cazul bazelor de date SQL, informatia este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In cazul bazelor de date NoSQL, informatia este organizata in colectii, fiecare colectie este alcatuita din documente in format JSON cu continut variat. Astfel, daca se doreste stocarea unui atribut nou, este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Default="009F21FD" w:rsidP="00645670">
      <w:pPr>
        <w:jc w:val="center"/>
      </w:pPr>
      <w:r>
        <w:t>Figura 1: Comparatie timpi de executie pentru scriere/citire</w:t>
      </w: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MongoDB este o baza de date NoSQL</w:t>
      </w:r>
      <w:r w:rsidR="00F93438">
        <w:rPr>
          <w:sz w:val="24"/>
          <w:szCs w:val="24"/>
        </w:rPr>
        <w:t>, orientata pe documente si folosita pentru stocarea volumelor mari de date. Aceasta a</w:t>
      </w:r>
      <w:r w:rsidRPr="00645670">
        <w:rPr>
          <w:sz w:val="24"/>
          <w:szCs w:val="24"/>
        </w:rPr>
        <w:t>sigura agilitate si scalabilitate in businesses. Mai multe companii(Facebook, Google, Amazon) au decis sa foloseasca MongoDB datorita perfomantelor foarte bune pe care le ofera.</w:t>
      </w:r>
    </w:p>
    <w:p w:rsidR="009F21FD" w:rsidRDefault="00F93438" w:rsidP="008C259C">
      <w:pPr>
        <w:ind w:firstLine="720"/>
        <w:jc w:val="both"/>
        <w:rPr>
          <w:sz w:val="24"/>
          <w:szCs w:val="24"/>
        </w:rPr>
      </w:pPr>
      <w:r>
        <w:rPr>
          <w:sz w:val="24"/>
          <w:szCs w:val="24"/>
        </w:rPr>
        <w:lastRenderedPageBreak/>
        <w:t xml:space="preserve">Fiecare baza de date MongoDB contine colectii alcatuite din documente. Fiecare document este in format JSON si poate fi alcatuit dintr-un numar variat de campuri (date). </w:t>
      </w:r>
      <w:r w:rsidR="00817AC5">
        <w:rPr>
          <w:sz w:val="24"/>
          <w:szCs w:val="24"/>
        </w:rPr>
        <w:t>Documentele bazei de date MongoDB nu au nevoie sa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2926"/>
        <w:gridCol w:w="3308"/>
        <w:gridCol w:w="3116"/>
      </w:tblGrid>
      <w:tr w:rsidR="00DA76A8" w:rsidTr="00E0473F">
        <w:tc>
          <w:tcPr>
            <w:tcW w:w="2926" w:type="dxa"/>
          </w:tcPr>
          <w:p w:rsidR="00DA76A8" w:rsidRPr="009E04B2" w:rsidRDefault="00DA76A8" w:rsidP="00DA76A8">
            <w:pPr>
              <w:jc w:val="center"/>
              <w:rPr>
                <w:b/>
                <w:sz w:val="24"/>
                <w:szCs w:val="24"/>
              </w:rPr>
            </w:pPr>
            <w:r w:rsidRPr="009E04B2">
              <w:rPr>
                <w:b/>
                <w:sz w:val="24"/>
                <w:szCs w:val="24"/>
              </w:rPr>
              <w:t>Comanda</w:t>
            </w:r>
          </w:p>
        </w:tc>
        <w:tc>
          <w:tcPr>
            <w:tcW w:w="3308" w:type="dxa"/>
          </w:tcPr>
          <w:p w:rsidR="00DA76A8" w:rsidRPr="009E04B2" w:rsidRDefault="00DA76A8" w:rsidP="00DA76A8">
            <w:pPr>
              <w:jc w:val="center"/>
              <w:rPr>
                <w:b/>
                <w:sz w:val="24"/>
                <w:szCs w:val="24"/>
              </w:rPr>
            </w:pPr>
            <w:r w:rsidRPr="009E04B2">
              <w:rPr>
                <w:b/>
                <w:sz w:val="24"/>
                <w:szCs w:val="24"/>
              </w:rPr>
              <w:t>SQL</w:t>
            </w:r>
          </w:p>
        </w:tc>
        <w:tc>
          <w:tcPr>
            <w:tcW w:w="3116" w:type="dxa"/>
          </w:tcPr>
          <w:p w:rsidR="00DA76A8" w:rsidRPr="009E04B2" w:rsidRDefault="00DA76A8" w:rsidP="00DA76A8">
            <w:pPr>
              <w:jc w:val="center"/>
              <w:rPr>
                <w:b/>
                <w:sz w:val="24"/>
                <w:szCs w:val="24"/>
              </w:rPr>
            </w:pPr>
            <w:r w:rsidRPr="009E04B2">
              <w:rPr>
                <w:b/>
                <w:sz w:val="24"/>
                <w:szCs w:val="24"/>
              </w:rPr>
              <w:t>NoSQL</w:t>
            </w: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3308"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column3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3116"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tabela / colectie</w:t>
            </w:r>
          </w:p>
        </w:tc>
        <w:tc>
          <w:tcPr>
            <w:tcW w:w="3308"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3116"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3308"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3116"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6D44FA">
        <w:tc>
          <w:tcPr>
            <w:tcW w:w="2926"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t>Inserare linie / intrare</w:t>
            </w:r>
          </w:p>
        </w:tc>
        <w:tc>
          <w:tcPr>
            <w:tcW w:w="3308"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3116" w:type="dxa"/>
            <w:vAlign w:val="center"/>
          </w:tcPr>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db.</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6D44FA">
        <w:tc>
          <w:tcPr>
            <w:tcW w:w="2926"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lastRenderedPageBreak/>
              <w:t>Interogare cu conditii</w:t>
            </w:r>
          </w:p>
        </w:tc>
        <w:tc>
          <w:tcPr>
            <w:tcW w:w="3308"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116"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bl>
    <w:p w:rsidR="00817AC5" w:rsidRDefault="00817AC5" w:rsidP="00817AC5">
      <w:pPr>
        <w:rPr>
          <w:b/>
          <w:sz w:val="28"/>
          <w:szCs w:val="24"/>
        </w:rPr>
      </w:pPr>
    </w:p>
    <w:p w:rsidR="009E04B2" w:rsidRDefault="009E04B2" w:rsidP="00817AC5">
      <w:pPr>
        <w:rPr>
          <w:b/>
          <w:sz w:val="28"/>
          <w:szCs w:val="24"/>
        </w:rPr>
      </w:pPr>
    </w:p>
    <w:p w:rsidR="00B823DE" w:rsidRDefault="00B823DE">
      <w:pPr>
        <w:rPr>
          <w:b/>
          <w:sz w:val="28"/>
        </w:rPr>
      </w:pPr>
      <w:r w:rsidRPr="00B36432">
        <w:rPr>
          <w:b/>
          <w:sz w:val="28"/>
        </w:rPr>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9"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0"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1"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2" w:history="1">
        <w:r w:rsidR="006B09AB" w:rsidRPr="004C7360">
          <w:rPr>
            <w:rStyle w:val="Hyperlink"/>
            <w:rFonts w:ascii="Times New Roman" w:hAnsi="Times New Roman" w:cs="Times New Roman"/>
            <w:sz w:val="24"/>
            <w:szCs w:val="24"/>
          </w:rPr>
          <w:t>https://www.w3schools.com/sql.asp</w:t>
        </w:r>
      </w:hyperlink>
    </w:p>
    <w:p w:rsidR="006B09AB" w:rsidRDefault="003E6B0F" w:rsidP="00B36432">
      <w:pPr>
        <w:rPr>
          <w:rFonts w:ascii="Times New Roman" w:hAnsi="Times New Roman" w:cs="Times New Roman"/>
          <w:sz w:val="24"/>
          <w:szCs w:val="24"/>
        </w:rPr>
      </w:pPr>
      <w:hyperlink r:id="rId13" w:history="1">
        <w:r w:rsidRPr="002656CB">
          <w:rPr>
            <w:rStyle w:val="Hyperlink"/>
            <w:rFonts w:ascii="Times New Roman" w:hAnsi="Times New Roman" w:cs="Times New Roman"/>
            <w:sz w:val="24"/>
            <w:szCs w:val="24"/>
          </w:rPr>
          <w:t>https://severalnines.com/database-blog/linking-creating-mongodb-joins-using-sql-part-2</w:t>
        </w:r>
      </w:hyperlink>
    </w:p>
    <w:p w:rsidR="003E6B0F" w:rsidRPr="00B36432" w:rsidRDefault="003E6B0F" w:rsidP="00B36432">
      <w:pPr>
        <w:rPr>
          <w:rFonts w:ascii="Times New Roman" w:hAnsi="Times New Roman" w:cs="Times New Roman"/>
          <w:sz w:val="24"/>
          <w:szCs w:val="24"/>
        </w:rPr>
      </w:pPr>
      <w:r w:rsidRPr="003E6B0F">
        <w:rPr>
          <w:rFonts w:ascii="Times New Roman" w:hAnsi="Times New Roman" w:cs="Times New Roman"/>
          <w:sz w:val="24"/>
          <w:szCs w:val="24"/>
        </w:rPr>
        <w:t>https://www.red-gate.com/simple-talk/blogs/enjoying-joins-in-mongodb/</w:t>
      </w:r>
      <w:bookmarkStart w:id="0" w:name="_GoBack"/>
      <w:bookmarkEnd w:id="0"/>
    </w:p>
    <w:sectPr w:rsidR="003E6B0F" w:rsidRPr="00B36432" w:rsidSect="00F9343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E0F" w:rsidRDefault="00E36E0F" w:rsidP="00F93438">
      <w:pPr>
        <w:spacing w:after="0" w:line="240" w:lineRule="auto"/>
      </w:pPr>
      <w:r>
        <w:separator/>
      </w:r>
    </w:p>
  </w:endnote>
  <w:endnote w:type="continuationSeparator" w:id="0">
    <w:p w:rsidR="00E36E0F" w:rsidRDefault="00E36E0F"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3E6B0F">
      <w:rPr>
        <w:caps/>
        <w:noProof/>
      </w:rPr>
      <w:t>2</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E0F" w:rsidRDefault="00E36E0F" w:rsidP="00F93438">
      <w:pPr>
        <w:spacing w:after="0" w:line="240" w:lineRule="auto"/>
      </w:pPr>
      <w:r>
        <w:separator/>
      </w:r>
    </w:p>
  </w:footnote>
  <w:footnote w:type="continuationSeparator" w:id="0">
    <w:p w:rsidR="00E36E0F" w:rsidRDefault="00E36E0F"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11148B"/>
    <w:rsid w:val="001E2DB1"/>
    <w:rsid w:val="002F2BBF"/>
    <w:rsid w:val="003E6B0F"/>
    <w:rsid w:val="003F6056"/>
    <w:rsid w:val="005E3AF0"/>
    <w:rsid w:val="00645670"/>
    <w:rsid w:val="006B09AB"/>
    <w:rsid w:val="006D44FA"/>
    <w:rsid w:val="00817AC5"/>
    <w:rsid w:val="00864A1B"/>
    <w:rsid w:val="00867249"/>
    <w:rsid w:val="0089348F"/>
    <w:rsid w:val="008C259C"/>
    <w:rsid w:val="00924283"/>
    <w:rsid w:val="009E04B2"/>
    <w:rsid w:val="009F1046"/>
    <w:rsid w:val="009F21FD"/>
    <w:rsid w:val="00A52E2A"/>
    <w:rsid w:val="00AE55A8"/>
    <w:rsid w:val="00B36432"/>
    <w:rsid w:val="00B823DE"/>
    <w:rsid w:val="00DA76A8"/>
    <w:rsid w:val="00E0473F"/>
    <w:rsid w:val="00E2469B"/>
    <w:rsid w:val="00E36E0F"/>
    <w:rsid w:val="00E52800"/>
    <w:rsid w:val="00E91E08"/>
    <w:rsid w:val="00F93438"/>
    <w:rsid w:val="00FA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E111"/>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veralnines.com/database-blog/linking-creating-mongodb-joins-using-sql-part-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laus.dk/sqltomongodb/" TargetMode="External"/><Relationship Id="rId4" Type="http://schemas.openxmlformats.org/officeDocument/2006/relationships/webSettings" Target="webSettings.xml"/><Relationship Id="rId9" Type="http://schemas.openxmlformats.org/officeDocument/2006/relationships/hyperlink" Target="http://www.querymongo.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18</cp:revision>
  <dcterms:created xsi:type="dcterms:W3CDTF">2019-12-02T16:39:00Z</dcterms:created>
  <dcterms:modified xsi:type="dcterms:W3CDTF">2020-01-03T15:26:00Z</dcterms:modified>
</cp:coreProperties>
</file>