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D1A" w:rsidRDefault="004767C5" w:rsidP="00914D1A">
      <w:pPr>
        <w:autoSpaceDE w:val="0"/>
        <w:autoSpaceDN w:val="0"/>
        <w:adjustRightInd w:val="0"/>
        <w:spacing w:line="240" w:lineRule="auto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Cerințe</w:t>
      </w:r>
      <w:r w:rsidRPr="00C606B9">
        <w:rPr>
          <w:b/>
          <w:sz w:val="32"/>
          <w:lang w:val="en-US"/>
        </w:rPr>
        <w:t xml:space="preserve"> </w:t>
      </w:r>
      <w:r>
        <w:rPr>
          <w:b/>
          <w:sz w:val="32"/>
          <w:lang w:val="en-US"/>
        </w:rPr>
        <w:t xml:space="preserve">și activități </w:t>
      </w:r>
      <w:r w:rsidR="00914D1A">
        <w:rPr>
          <w:b/>
          <w:sz w:val="32"/>
          <w:lang w:val="en-US"/>
        </w:rPr>
        <w:t xml:space="preserve">- </w:t>
      </w:r>
      <w:r w:rsidR="00845D10">
        <w:rPr>
          <w:b/>
          <w:sz w:val="32"/>
          <w:lang w:val="en-US"/>
        </w:rPr>
        <w:t>4</w:t>
      </w:r>
    </w:p>
    <w:p w:rsidR="00914D1A" w:rsidRDefault="00914D1A" w:rsidP="00914D1A">
      <w:pPr>
        <w:autoSpaceDE w:val="0"/>
        <w:autoSpaceDN w:val="0"/>
        <w:adjustRightInd w:val="0"/>
        <w:spacing w:line="240" w:lineRule="auto"/>
        <w:jc w:val="left"/>
        <w:rPr>
          <w:b/>
          <w:sz w:val="32"/>
          <w:lang w:val="en-US"/>
        </w:rPr>
      </w:pPr>
    </w:p>
    <w:p w:rsidR="006C14C1" w:rsidRDefault="006C14C1">
      <w:pPr>
        <w:rPr>
          <w:lang w:val="en-US"/>
        </w:rPr>
      </w:pPr>
    </w:p>
    <w:p w:rsidR="000B1FB0" w:rsidRDefault="000263BF" w:rsidP="00C302C2">
      <w:pPr>
        <w:autoSpaceDE w:val="0"/>
        <w:autoSpaceDN w:val="0"/>
        <w:adjustRightInd w:val="0"/>
        <w:spacing w:line="240" w:lineRule="auto"/>
        <w:jc w:val="left"/>
        <w:rPr>
          <w:b/>
          <w:bCs/>
          <w:lang w:val="en-US"/>
        </w:rPr>
      </w:pPr>
      <w:r>
        <w:rPr>
          <w:b/>
          <w:sz w:val="32"/>
          <w:lang w:val="en-US"/>
        </w:rPr>
        <w:t>Sarcina</w:t>
      </w:r>
      <w:r w:rsidR="000B1FB0" w:rsidRPr="00A81CA5">
        <w:rPr>
          <w:b/>
          <w:sz w:val="32"/>
          <w:lang w:val="en-US"/>
        </w:rPr>
        <w:t xml:space="preserve"> </w:t>
      </w:r>
      <w:r w:rsidR="000B1FB0">
        <w:rPr>
          <w:b/>
          <w:sz w:val="32"/>
          <w:lang w:val="en-US"/>
        </w:rPr>
        <w:t>1</w:t>
      </w:r>
      <w:r w:rsidR="000B1FB0" w:rsidRPr="00A81CA5">
        <w:rPr>
          <w:b/>
          <w:sz w:val="32"/>
          <w:lang w:val="en-US"/>
        </w:rPr>
        <w:t>:</w:t>
      </w:r>
      <w:r w:rsidR="000B1FB0">
        <w:rPr>
          <w:b/>
          <w:sz w:val="32"/>
          <w:lang w:val="en-US"/>
        </w:rPr>
        <w:t xml:space="preserve"> </w:t>
      </w:r>
      <w:r w:rsidR="00561481">
        <w:rPr>
          <w:b/>
          <w:sz w:val="32"/>
          <w:lang w:val="en-US"/>
        </w:rPr>
        <w:t>Test</w:t>
      </w:r>
      <w:r>
        <w:rPr>
          <w:b/>
          <w:sz w:val="32"/>
          <w:lang w:val="en-US"/>
        </w:rPr>
        <w:t>eaz</w:t>
      </w:r>
      <w:r>
        <w:rPr>
          <w:b/>
          <w:sz w:val="32"/>
        </w:rPr>
        <w:t xml:space="preserve">ă-ți </w:t>
      </w:r>
      <w:r>
        <w:rPr>
          <w:b/>
          <w:sz w:val="32"/>
          <w:lang w:val="en-US"/>
        </w:rPr>
        <w:t>înțelegerea</w:t>
      </w:r>
    </w:p>
    <w:p w:rsidR="000B1FB0" w:rsidRDefault="000B1FB0" w:rsidP="00C302C2">
      <w:pPr>
        <w:autoSpaceDE w:val="0"/>
        <w:autoSpaceDN w:val="0"/>
        <w:adjustRightInd w:val="0"/>
        <w:spacing w:line="240" w:lineRule="auto"/>
        <w:jc w:val="left"/>
        <w:rPr>
          <w:b/>
          <w:bCs/>
          <w:lang w:val="en-US"/>
        </w:rPr>
      </w:pPr>
    </w:p>
    <w:p w:rsidR="009B48CB" w:rsidRPr="00411AB7" w:rsidRDefault="009B48CB" w:rsidP="009B48CB">
      <w:pPr>
        <w:spacing w:line="240" w:lineRule="auto"/>
        <w:rPr>
          <w:b/>
          <w:bCs/>
          <w:lang w:val="en-US"/>
        </w:rPr>
      </w:pPr>
      <w:r w:rsidRPr="00411AB7">
        <w:rPr>
          <w:b/>
          <w:bCs/>
          <w:lang w:val="en-US"/>
        </w:rPr>
        <w:t xml:space="preserve">Întrebarea 1: </w:t>
      </w:r>
      <w:r w:rsidRPr="00411AB7">
        <w:rPr>
          <w:lang w:val="en-US"/>
        </w:rPr>
        <w:t xml:space="preserve">Un medicament numit stricnină, </w:t>
      </w:r>
      <w:r w:rsidR="002B5FD6">
        <w:rPr>
          <w:lang w:val="en-US"/>
        </w:rPr>
        <w:t>extras</w:t>
      </w:r>
      <w:r w:rsidRPr="00411AB7">
        <w:rPr>
          <w:lang w:val="en-US"/>
        </w:rPr>
        <w:t xml:space="preserve"> din semințele unui copac originar din India și utilizat în mod obișnuit ca otravă pentru șobolani, blochează efectele glicinei. Este stricnina un agonist sau un antagonist al receptorului glicinei?</w:t>
      </w:r>
    </w:p>
    <w:p w:rsidR="009B48CB" w:rsidRPr="00411AB7" w:rsidRDefault="009B48CB" w:rsidP="009B48CB">
      <w:pPr>
        <w:spacing w:line="240" w:lineRule="auto"/>
        <w:rPr>
          <w:lang w:val="en-US"/>
        </w:rPr>
      </w:pPr>
      <w:r w:rsidRPr="00411AB7">
        <w:rPr>
          <w:lang w:val="en-US"/>
        </w:rPr>
        <w:t>______________</w:t>
      </w:r>
    </w:p>
    <w:p w:rsidR="009B48CB" w:rsidRDefault="009B48CB" w:rsidP="009B48CB">
      <w:pPr>
        <w:spacing w:line="240" w:lineRule="auto"/>
        <w:rPr>
          <w:lang w:val="en-US"/>
        </w:rPr>
      </w:pPr>
      <w:r w:rsidRPr="00411AB7">
        <w:rPr>
          <w:lang w:val="en-US"/>
        </w:rPr>
        <w:t>______________</w:t>
      </w:r>
    </w:p>
    <w:p w:rsidR="00421A5C" w:rsidRPr="00411AB7" w:rsidRDefault="00421A5C" w:rsidP="009B48CB">
      <w:pPr>
        <w:spacing w:line="240" w:lineRule="auto"/>
        <w:rPr>
          <w:lang w:val="en-US"/>
        </w:rPr>
      </w:pPr>
    </w:p>
    <w:p w:rsidR="009B48CB" w:rsidRPr="00411AB7" w:rsidRDefault="009B48CB" w:rsidP="009B48CB">
      <w:pPr>
        <w:spacing w:line="240" w:lineRule="auto"/>
        <w:rPr>
          <w:lang w:val="en-US"/>
        </w:rPr>
      </w:pPr>
      <w:r w:rsidRPr="00411AB7">
        <w:rPr>
          <w:b/>
          <w:bCs/>
          <w:lang w:val="en-US"/>
        </w:rPr>
        <w:t xml:space="preserve">Întrebarea 2: </w:t>
      </w:r>
      <w:r w:rsidRPr="00411AB7">
        <w:rPr>
          <w:lang w:val="en-US"/>
        </w:rPr>
        <w:t>De ce este o sinapsă excitatorie de pe soma mai eficientă în evocarea potențialelor de acțiune în neuronul postsinaptic decât o sinapsă excitatorie de pe vârful unei dendrite?</w:t>
      </w:r>
    </w:p>
    <w:p w:rsidR="009B48CB" w:rsidRPr="00411AB7" w:rsidRDefault="009B48CB" w:rsidP="009B48CB">
      <w:pPr>
        <w:spacing w:line="240" w:lineRule="auto"/>
        <w:rPr>
          <w:lang w:val="en-US"/>
        </w:rPr>
      </w:pPr>
      <w:r w:rsidRPr="00411AB7">
        <w:rPr>
          <w:lang w:val="en-US"/>
        </w:rPr>
        <w:t>______________</w:t>
      </w:r>
    </w:p>
    <w:p w:rsidR="009B48CB" w:rsidRPr="00411AB7" w:rsidRDefault="009B48CB" w:rsidP="009B48CB">
      <w:pPr>
        <w:spacing w:line="240" w:lineRule="auto"/>
        <w:rPr>
          <w:lang w:val="en-US"/>
        </w:rPr>
      </w:pPr>
      <w:r w:rsidRPr="00411AB7">
        <w:rPr>
          <w:lang w:val="en-US"/>
        </w:rPr>
        <w:t>______________</w:t>
      </w:r>
    </w:p>
    <w:p w:rsidR="000B1FB0" w:rsidRPr="00842F52" w:rsidRDefault="000B1FB0" w:rsidP="00294F2A">
      <w:pPr>
        <w:spacing w:after="240"/>
        <w:rPr>
          <w:lang w:val="en-US"/>
        </w:rPr>
      </w:pPr>
    </w:p>
    <w:p w:rsidR="00294F2A" w:rsidRDefault="00294F2A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br w:type="page"/>
      </w:r>
    </w:p>
    <w:p w:rsidR="00561481" w:rsidRDefault="007B031A" w:rsidP="00E150E0">
      <w:pPr>
        <w:autoSpaceDE w:val="0"/>
        <w:autoSpaceDN w:val="0"/>
        <w:adjustRightInd w:val="0"/>
        <w:spacing w:line="240" w:lineRule="auto"/>
        <w:jc w:val="left"/>
        <w:rPr>
          <w:b/>
          <w:color w:val="000000" w:themeColor="text1"/>
          <w:sz w:val="32"/>
          <w:lang w:val="en-US"/>
        </w:rPr>
      </w:pPr>
      <w:r>
        <w:rPr>
          <w:b/>
          <w:sz w:val="32"/>
          <w:lang w:val="en-US"/>
        </w:rPr>
        <w:lastRenderedPageBreak/>
        <w:t>Sarcina</w:t>
      </w:r>
      <w:r w:rsidR="0038704D" w:rsidRPr="00A81CA5">
        <w:rPr>
          <w:b/>
          <w:sz w:val="32"/>
          <w:lang w:val="en-US"/>
        </w:rPr>
        <w:t xml:space="preserve"> </w:t>
      </w:r>
      <w:r w:rsidR="000B1FB0">
        <w:rPr>
          <w:b/>
          <w:sz w:val="32"/>
          <w:lang w:val="en-US"/>
        </w:rPr>
        <w:t>2</w:t>
      </w:r>
      <w:r w:rsidR="0038704D" w:rsidRPr="00A81CA5">
        <w:rPr>
          <w:b/>
          <w:sz w:val="32"/>
          <w:lang w:val="en-US"/>
        </w:rPr>
        <w:t xml:space="preserve">: </w:t>
      </w:r>
      <w:r w:rsidR="00644DA9">
        <w:rPr>
          <w:b/>
          <w:color w:val="000000" w:themeColor="text1"/>
          <w:sz w:val="32"/>
          <w:lang w:val="en-US"/>
        </w:rPr>
        <w:t>Construiește puzzle-ul</w:t>
      </w:r>
    </w:p>
    <w:p w:rsidR="00EB28CB" w:rsidRDefault="00EB28CB" w:rsidP="00E150E0">
      <w:pPr>
        <w:autoSpaceDE w:val="0"/>
        <w:autoSpaceDN w:val="0"/>
        <w:adjustRightInd w:val="0"/>
        <w:spacing w:line="240" w:lineRule="auto"/>
        <w:jc w:val="left"/>
        <w:rPr>
          <w:b/>
          <w:color w:val="000000" w:themeColor="text1"/>
          <w:sz w:val="32"/>
          <w:lang w:val="en-US"/>
        </w:rPr>
      </w:pPr>
    </w:p>
    <w:p w:rsidR="00EB28CB" w:rsidRPr="00BA254C" w:rsidRDefault="007B031A" w:rsidP="00EB28CB">
      <w:pPr>
        <w:autoSpaceDE w:val="0"/>
        <w:autoSpaceDN w:val="0"/>
        <w:adjustRightInd w:val="0"/>
        <w:spacing w:line="240" w:lineRule="auto"/>
        <w:jc w:val="left"/>
        <w:rPr>
          <w:bCs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Sarcina</w:t>
      </w:r>
      <w:r w:rsidR="00EB28CB">
        <w:rPr>
          <w:b/>
          <w:color w:val="000000" w:themeColor="text1"/>
          <w:lang w:val="en-US"/>
        </w:rPr>
        <w:t xml:space="preserve"> 2a: </w:t>
      </w:r>
      <w:r w:rsidR="00BA254C">
        <w:rPr>
          <w:bCs/>
          <w:color w:val="000000" w:themeColor="text1"/>
          <w:lang w:val="en-US"/>
        </w:rPr>
        <w:t>Acces</w:t>
      </w:r>
      <w:r>
        <w:rPr>
          <w:bCs/>
          <w:color w:val="000000" w:themeColor="text1"/>
          <w:lang w:val="en-US"/>
        </w:rPr>
        <w:t>eaza</w:t>
      </w:r>
      <w:r w:rsidR="00BA254C">
        <w:rPr>
          <w:bCs/>
          <w:color w:val="000000" w:themeColor="text1"/>
          <w:lang w:val="en-US"/>
        </w:rPr>
        <w:t xml:space="preserve"> </w:t>
      </w:r>
      <w:hyperlink r:id="rId6" w:history="1">
        <w:r>
          <w:rPr>
            <w:rStyle w:val="Hyperlink"/>
            <w:bCs/>
            <w:lang w:val="en-US"/>
          </w:rPr>
          <w:t>acest link</w:t>
        </w:r>
      </w:hyperlink>
      <w:r w:rsidR="00BA254C">
        <w:rPr>
          <w:bCs/>
          <w:color w:val="000000" w:themeColor="text1"/>
          <w:lang w:val="en-US"/>
        </w:rPr>
        <w:t xml:space="preserve"> </w:t>
      </w:r>
      <w:r>
        <w:rPr>
          <w:bCs/>
          <w:color w:val="000000" w:themeColor="text1"/>
          <w:lang w:val="en-US"/>
        </w:rPr>
        <w:t>și construiește puzzle-ul transmisiei sinaptice.</w:t>
      </w:r>
      <w:r w:rsidR="00BA254C">
        <w:rPr>
          <w:bCs/>
          <w:color w:val="000000" w:themeColor="text1"/>
          <w:lang w:val="en-US"/>
        </w:rPr>
        <w:t xml:space="preserve"> </w:t>
      </w:r>
    </w:p>
    <w:p w:rsidR="00EB28CB" w:rsidRDefault="007B031A" w:rsidP="00EB28CB">
      <w:pPr>
        <w:autoSpaceDE w:val="0"/>
        <w:autoSpaceDN w:val="0"/>
        <w:adjustRightInd w:val="0"/>
        <w:spacing w:line="240" w:lineRule="auto"/>
        <w:jc w:val="left"/>
        <w:rPr>
          <w:bCs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Sarcina</w:t>
      </w:r>
      <w:r w:rsidR="00EB28CB">
        <w:rPr>
          <w:b/>
          <w:color w:val="000000" w:themeColor="text1"/>
          <w:lang w:val="en-US"/>
        </w:rPr>
        <w:t xml:space="preserve"> 2b: </w:t>
      </w:r>
      <w:r>
        <w:rPr>
          <w:bCs/>
          <w:color w:val="000000" w:themeColor="text1"/>
          <w:lang w:val="en-US"/>
        </w:rPr>
        <w:t>Când puzzle-ul este complet, aran</w:t>
      </w:r>
      <w:r w:rsidR="00ED3DAE">
        <w:rPr>
          <w:bCs/>
          <w:color w:val="000000" w:themeColor="text1"/>
          <w:lang w:val="en-US"/>
        </w:rPr>
        <w:t xml:space="preserve">jează următorii pași ai transmisiei sinaptice în ordinea corectă și </w:t>
      </w:r>
      <w:r w:rsidR="003A775F">
        <w:rPr>
          <w:bCs/>
          <w:color w:val="000000" w:themeColor="text1"/>
          <w:lang w:val="en-US"/>
        </w:rPr>
        <w:t xml:space="preserve">indică-i ulterior în imaginea transmisiei sinaptice, prin săgeți. </w:t>
      </w:r>
    </w:p>
    <w:p w:rsidR="00752685" w:rsidRPr="00752685" w:rsidRDefault="00752685" w:rsidP="007526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jc w:val="left"/>
        <w:rPr>
          <w:bCs/>
          <w:color w:val="000000" w:themeColor="text1"/>
          <w:lang w:val="en-US"/>
        </w:rPr>
      </w:pPr>
      <w:r w:rsidRPr="00752685">
        <w:rPr>
          <w:bCs/>
          <w:color w:val="000000" w:themeColor="text1"/>
          <w:lang w:val="en-US"/>
        </w:rPr>
        <w:t>Ca</w:t>
      </w:r>
      <w:r w:rsidRPr="00752685">
        <w:rPr>
          <w:bCs/>
          <w:color w:val="000000" w:themeColor="text1"/>
          <w:vertAlign w:val="superscript"/>
          <w:lang w:val="en-US"/>
        </w:rPr>
        <w:t>2+</w:t>
      </w:r>
      <w:r w:rsidRPr="00752685">
        <w:rPr>
          <w:bCs/>
          <w:color w:val="000000" w:themeColor="text1"/>
          <w:lang w:val="en-US"/>
        </w:rPr>
        <w:t xml:space="preserve"> permite andocarea veziculelor și eliberarea neurotransmițătorilor.</w:t>
      </w:r>
    </w:p>
    <w:p w:rsidR="00752685" w:rsidRPr="00752685" w:rsidRDefault="00752685" w:rsidP="007526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jc w:val="left"/>
        <w:rPr>
          <w:bCs/>
          <w:color w:val="000000" w:themeColor="text1"/>
          <w:lang w:val="en-US"/>
        </w:rPr>
      </w:pPr>
      <w:r w:rsidRPr="00752685">
        <w:rPr>
          <w:bCs/>
          <w:color w:val="000000" w:themeColor="text1"/>
          <w:lang w:val="en-US"/>
        </w:rPr>
        <w:t>Membrana veziculară este preluată de la membrana plasmatică.</w:t>
      </w:r>
    </w:p>
    <w:p w:rsidR="00752685" w:rsidRPr="00752685" w:rsidRDefault="00752685" w:rsidP="007526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jc w:val="left"/>
        <w:rPr>
          <w:bCs/>
          <w:color w:val="000000" w:themeColor="text1"/>
          <w:lang w:val="en-US"/>
        </w:rPr>
      </w:pPr>
      <w:r w:rsidRPr="00752685">
        <w:rPr>
          <w:bCs/>
          <w:color w:val="000000" w:themeColor="text1"/>
          <w:lang w:val="en-US"/>
        </w:rPr>
        <w:t>Neurotransmițătorii sunt sintetizați și depozitați în vezicule.</w:t>
      </w:r>
    </w:p>
    <w:p w:rsidR="00752685" w:rsidRPr="00752685" w:rsidRDefault="00752685" w:rsidP="007526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jc w:val="left"/>
        <w:rPr>
          <w:bCs/>
          <w:color w:val="000000" w:themeColor="text1"/>
          <w:lang w:val="en-US"/>
        </w:rPr>
      </w:pPr>
      <w:r w:rsidRPr="00752685">
        <w:rPr>
          <w:bCs/>
          <w:color w:val="000000" w:themeColor="text1"/>
          <w:lang w:val="en-US"/>
        </w:rPr>
        <w:t>Se generează un potențial postsinaptic excitator (sau inhibitor).</w:t>
      </w:r>
    </w:p>
    <w:p w:rsidR="00752685" w:rsidRPr="00752685" w:rsidRDefault="00752685" w:rsidP="007526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jc w:val="left"/>
        <w:rPr>
          <w:bCs/>
          <w:color w:val="000000" w:themeColor="text1"/>
          <w:lang w:val="en-US"/>
        </w:rPr>
      </w:pPr>
      <w:r w:rsidRPr="00752685">
        <w:rPr>
          <w:bCs/>
          <w:color w:val="000000" w:themeColor="text1"/>
          <w:lang w:val="en-US"/>
        </w:rPr>
        <w:t>Neurotransmițătorul este eliminat prin absorbție glială (sau prin degradare enzimatică).</w:t>
      </w:r>
    </w:p>
    <w:p w:rsidR="00752685" w:rsidRPr="00752685" w:rsidRDefault="00752685" w:rsidP="007526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jc w:val="left"/>
        <w:rPr>
          <w:bCs/>
          <w:color w:val="000000" w:themeColor="text1"/>
          <w:lang w:val="en-US"/>
        </w:rPr>
      </w:pPr>
      <w:r w:rsidRPr="00752685">
        <w:rPr>
          <w:bCs/>
          <w:color w:val="000000" w:themeColor="text1"/>
          <w:lang w:val="en-US"/>
        </w:rPr>
        <w:t>Canalele de Ca</w:t>
      </w:r>
      <w:r w:rsidRPr="00752685">
        <w:rPr>
          <w:bCs/>
          <w:color w:val="000000" w:themeColor="text1"/>
          <w:vertAlign w:val="superscript"/>
          <w:lang w:val="en-US"/>
        </w:rPr>
        <w:t>2+</w:t>
      </w:r>
      <w:r w:rsidRPr="00752685">
        <w:rPr>
          <w:bCs/>
          <w:color w:val="000000" w:themeColor="text1"/>
          <w:lang w:val="en-US"/>
        </w:rPr>
        <w:t xml:space="preserve"> deschise la tensiune se deschid, permițând afluxul de Ca</w:t>
      </w:r>
      <w:r w:rsidRPr="00752685">
        <w:rPr>
          <w:bCs/>
          <w:color w:val="000000" w:themeColor="text1"/>
          <w:vertAlign w:val="superscript"/>
          <w:lang w:val="en-US"/>
        </w:rPr>
        <w:t>2+</w:t>
      </w:r>
      <w:r w:rsidRPr="00752685">
        <w:rPr>
          <w:bCs/>
          <w:color w:val="000000" w:themeColor="text1"/>
          <w:lang w:val="en-US"/>
        </w:rPr>
        <w:t>.</w:t>
      </w:r>
    </w:p>
    <w:p w:rsidR="00752685" w:rsidRPr="00752685" w:rsidRDefault="00752685" w:rsidP="007526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jc w:val="left"/>
        <w:rPr>
          <w:bCs/>
          <w:color w:val="000000" w:themeColor="text1"/>
          <w:lang w:val="en-US"/>
        </w:rPr>
      </w:pPr>
      <w:r w:rsidRPr="00752685">
        <w:rPr>
          <w:bCs/>
          <w:color w:val="000000" w:themeColor="text1"/>
          <w:lang w:val="en-US"/>
        </w:rPr>
        <w:t>Potențialul de acțiune ajunge la terminalul presinaptic.</w:t>
      </w:r>
    </w:p>
    <w:p w:rsidR="005766A7" w:rsidRDefault="00752685" w:rsidP="007526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jc w:val="left"/>
        <w:rPr>
          <w:bCs/>
          <w:color w:val="000000" w:themeColor="text1"/>
          <w:lang w:val="en-US"/>
        </w:rPr>
      </w:pPr>
      <w:r w:rsidRPr="00752685">
        <w:rPr>
          <w:bCs/>
          <w:color w:val="000000" w:themeColor="text1"/>
          <w:lang w:val="en-US"/>
        </w:rPr>
        <w:t>Neurotransmițătorul se leagă de receptori, determinând deschiderea (sau închiderea) canalelor.</w:t>
      </w:r>
    </w:p>
    <w:p w:rsidR="008C02A2" w:rsidRPr="00752685" w:rsidRDefault="008C02A2" w:rsidP="007526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jc w:val="left"/>
        <w:rPr>
          <w:bCs/>
          <w:color w:val="000000" w:themeColor="text1"/>
          <w:lang w:val="en-US"/>
        </w:rPr>
      </w:pPr>
    </w:p>
    <w:p w:rsidR="00FE225E" w:rsidRPr="00A55E32" w:rsidRDefault="00C75D6E" w:rsidP="00EB28CB">
      <w:pPr>
        <w:autoSpaceDE w:val="0"/>
        <w:autoSpaceDN w:val="0"/>
        <w:adjustRightInd w:val="0"/>
        <w:spacing w:line="240" w:lineRule="auto"/>
        <w:jc w:val="left"/>
        <w:rPr>
          <w:bCs/>
          <w:color w:val="000000" w:themeColor="text1"/>
          <w:lang w:val="en-US"/>
        </w:rPr>
      </w:pPr>
      <w:r>
        <w:rPr>
          <w:bCs/>
          <w:noProof/>
          <w:color w:val="000000" w:themeColor="text1"/>
          <w:lang w:val="en-US"/>
        </w:rPr>
        <w:drawing>
          <wp:inline distT="0" distB="0" distL="0" distR="0">
            <wp:extent cx="5934075" cy="4986655"/>
            <wp:effectExtent l="0" t="0" r="0" b="0"/>
            <wp:docPr id="1438809980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91D" w:rsidRDefault="0008691D" w:rsidP="00294F2A">
      <w:pPr>
        <w:spacing w:after="240"/>
        <w:rPr>
          <w:lang w:val="en-US"/>
        </w:rPr>
      </w:pPr>
      <w:r>
        <w:rPr>
          <w:lang w:val="en-US"/>
        </w:rPr>
        <w:br w:type="page"/>
      </w:r>
    </w:p>
    <w:p w:rsidR="0008691D" w:rsidRDefault="000C5D52" w:rsidP="0008691D">
      <w:pPr>
        <w:autoSpaceDE w:val="0"/>
        <w:autoSpaceDN w:val="0"/>
        <w:adjustRightInd w:val="0"/>
        <w:spacing w:line="240" w:lineRule="auto"/>
        <w:jc w:val="left"/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Sarcina</w:t>
      </w:r>
      <w:r w:rsidR="0008691D" w:rsidRPr="00A81CA5">
        <w:rPr>
          <w:b/>
          <w:sz w:val="32"/>
          <w:lang w:val="en-US"/>
        </w:rPr>
        <w:t xml:space="preserve"> </w:t>
      </w:r>
      <w:r w:rsidR="000B1FB0">
        <w:rPr>
          <w:b/>
          <w:sz w:val="32"/>
          <w:lang w:val="en-US"/>
        </w:rPr>
        <w:t>3</w:t>
      </w:r>
      <w:r w:rsidR="0008691D" w:rsidRPr="00A81CA5">
        <w:rPr>
          <w:b/>
          <w:sz w:val="32"/>
          <w:lang w:val="en-US"/>
        </w:rPr>
        <w:t xml:space="preserve">: </w:t>
      </w:r>
      <w:r w:rsidR="0008691D">
        <w:rPr>
          <w:b/>
          <w:sz w:val="32"/>
          <w:lang w:val="en-US"/>
        </w:rPr>
        <w:t xml:space="preserve">Draw me a Brain Ep. </w:t>
      </w:r>
      <w:r w:rsidR="00AC3933">
        <w:rPr>
          <w:b/>
          <w:sz w:val="32"/>
          <w:lang w:val="en-US"/>
        </w:rPr>
        <w:t>4</w:t>
      </w:r>
    </w:p>
    <w:p w:rsidR="0008691D" w:rsidRDefault="0008691D" w:rsidP="0008691D">
      <w:pPr>
        <w:autoSpaceDE w:val="0"/>
        <w:autoSpaceDN w:val="0"/>
        <w:adjustRightInd w:val="0"/>
        <w:spacing w:line="240" w:lineRule="auto"/>
        <w:jc w:val="left"/>
        <w:rPr>
          <w:b/>
          <w:sz w:val="32"/>
          <w:lang w:val="en-US"/>
        </w:rPr>
      </w:pPr>
    </w:p>
    <w:p w:rsidR="0008691D" w:rsidRPr="00AF4E95" w:rsidRDefault="00216873" w:rsidP="0008691D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  <w:r>
        <w:rPr>
          <w:sz w:val="32"/>
          <w:lang w:val="en-US"/>
        </w:rPr>
        <w:t>Desenează și tu</w:t>
      </w:r>
      <w:r w:rsidR="0008691D">
        <w:rPr>
          <w:sz w:val="32"/>
          <w:lang w:val="en-US"/>
        </w:rPr>
        <w:t xml:space="preserve"> (</w:t>
      </w:r>
      <w:r>
        <w:rPr>
          <w:sz w:val="32"/>
          <w:lang w:val="en-US"/>
        </w:rPr>
        <w:t>link către desenul editabil aici</w:t>
      </w:r>
      <w:r w:rsidR="0008691D">
        <w:rPr>
          <w:sz w:val="32"/>
          <w:lang w:val="en-US"/>
        </w:rPr>
        <w:t>):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8691D" w:rsidTr="00904382">
        <w:tc>
          <w:tcPr>
            <w:tcW w:w="9576" w:type="dxa"/>
          </w:tcPr>
          <w:p w:rsidR="00A625A3" w:rsidRPr="004B2DF4" w:rsidRDefault="006C2D2E" w:rsidP="00904382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5939155" cy="7358380"/>
                  <wp:effectExtent l="0" t="0" r="0" b="0"/>
                  <wp:docPr id="1468062635" name="I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155" cy="7358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3A12" w:rsidRDefault="00F13A12" w:rsidP="0008691D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</w:p>
    <w:p w:rsidR="0008691D" w:rsidRDefault="004D1A14" w:rsidP="0008691D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  <w:r>
        <w:rPr>
          <w:sz w:val="32"/>
          <w:lang w:val="en-US"/>
        </w:rPr>
        <w:t>Rândul tău</w:t>
      </w:r>
      <w:r w:rsidR="0008691D" w:rsidRPr="00AF4E95">
        <w:rPr>
          <w:sz w:val="32"/>
          <w:lang w:val="en-US"/>
        </w:rPr>
        <w:t>:</w:t>
      </w:r>
    </w:p>
    <w:p w:rsidR="004B2DF4" w:rsidRPr="00AF4E95" w:rsidRDefault="004B2DF4" w:rsidP="0008691D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08691D" w:rsidRPr="00A41683" w:rsidTr="00904382">
        <w:tc>
          <w:tcPr>
            <w:tcW w:w="9576" w:type="dxa"/>
          </w:tcPr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Default="0008691D" w:rsidP="00904382">
            <w:pPr>
              <w:rPr>
                <w:sz w:val="22"/>
              </w:rPr>
            </w:pPr>
          </w:p>
          <w:p w:rsidR="0067631B" w:rsidRDefault="0067631B" w:rsidP="00904382">
            <w:pPr>
              <w:rPr>
                <w:sz w:val="22"/>
              </w:rPr>
            </w:pPr>
          </w:p>
          <w:p w:rsidR="0067631B" w:rsidRDefault="0067631B" w:rsidP="00904382">
            <w:pPr>
              <w:rPr>
                <w:sz w:val="22"/>
              </w:rPr>
            </w:pPr>
          </w:p>
          <w:p w:rsidR="0067631B" w:rsidRDefault="0067631B" w:rsidP="00904382">
            <w:pPr>
              <w:rPr>
                <w:sz w:val="22"/>
              </w:rPr>
            </w:pPr>
          </w:p>
          <w:p w:rsidR="0067631B" w:rsidRPr="00A41683" w:rsidRDefault="0067631B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</w:tc>
      </w:tr>
    </w:tbl>
    <w:p w:rsidR="00C302C2" w:rsidRPr="00C302C2" w:rsidRDefault="00C302C2" w:rsidP="00C302C2">
      <w:pPr>
        <w:rPr>
          <w:lang w:val="en-US"/>
        </w:rPr>
      </w:pPr>
    </w:p>
    <w:sectPr w:rsidR="00C302C2" w:rsidRPr="00C302C2" w:rsidSect="006C14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DB1DE1"/>
    <w:multiLevelType w:val="hybridMultilevel"/>
    <w:tmpl w:val="8F96FD5A"/>
    <w:lvl w:ilvl="0" w:tplc="5B1257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617059"/>
    <w:multiLevelType w:val="hybridMultilevel"/>
    <w:tmpl w:val="71204CA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1C7609"/>
    <w:multiLevelType w:val="hybridMultilevel"/>
    <w:tmpl w:val="C07E596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D633DE"/>
    <w:multiLevelType w:val="hybridMultilevel"/>
    <w:tmpl w:val="7D78037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F839ED"/>
    <w:multiLevelType w:val="hybridMultilevel"/>
    <w:tmpl w:val="E078147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C302C2"/>
    <w:rsid w:val="000118EF"/>
    <w:rsid w:val="00015826"/>
    <w:rsid w:val="000247CF"/>
    <w:rsid w:val="000258CF"/>
    <w:rsid w:val="000263BF"/>
    <w:rsid w:val="000618A8"/>
    <w:rsid w:val="0008691D"/>
    <w:rsid w:val="000B1FB0"/>
    <w:rsid w:val="000C5D52"/>
    <w:rsid w:val="00134A49"/>
    <w:rsid w:val="001E2D25"/>
    <w:rsid w:val="001E309D"/>
    <w:rsid w:val="001F09D1"/>
    <w:rsid w:val="00216873"/>
    <w:rsid w:val="002325AB"/>
    <w:rsid w:val="0024159C"/>
    <w:rsid w:val="00251419"/>
    <w:rsid w:val="00283F06"/>
    <w:rsid w:val="00294F2A"/>
    <w:rsid w:val="002A06E5"/>
    <w:rsid w:val="002B5FD6"/>
    <w:rsid w:val="0038704D"/>
    <w:rsid w:val="003A775F"/>
    <w:rsid w:val="003C6389"/>
    <w:rsid w:val="003D059F"/>
    <w:rsid w:val="00421A5C"/>
    <w:rsid w:val="00430F18"/>
    <w:rsid w:val="004563E3"/>
    <w:rsid w:val="00472F3A"/>
    <w:rsid w:val="004767C5"/>
    <w:rsid w:val="004B2DF4"/>
    <w:rsid w:val="004D0E6B"/>
    <w:rsid w:val="004D1A14"/>
    <w:rsid w:val="004E12BF"/>
    <w:rsid w:val="005449D6"/>
    <w:rsid w:val="00561481"/>
    <w:rsid w:val="005766A7"/>
    <w:rsid w:val="005B2438"/>
    <w:rsid w:val="005E0CDE"/>
    <w:rsid w:val="00602B71"/>
    <w:rsid w:val="00623CF1"/>
    <w:rsid w:val="0062682D"/>
    <w:rsid w:val="00626D24"/>
    <w:rsid w:val="00644DA9"/>
    <w:rsid w:val="0067631B"/>
    <w:rsid w:val="006C14C1"/>
    <w:rsid w:val="006C2D2E"/>
    <w:rsid w:val="006F40D2"/>
    <w:rsid w:val="00715498"/>
    <w:rsid w:val="0072205D"/>
    <w:rsid w:val="00752685"/>
    <w:rsid w:val="007B031A"/>
    <w:rsid w:val="007D5FBF"/>
    <w:rsid w:val="007E2C57"/>
    <w:rsid w:val="007F4449"/>
    <w:rsid w:val="00842F52"/>
    <w:rsid w:val="00845D10"/>
    <w:rsid w:val="008C02A2"/>
    <w:rsid w:val="00902D20"/>
    <w:rsid w:val="0090785B"/>
    <w:rsid w:val="00914D1A"/>
    <w:rsid w:val="00924738"/>
    <w:rsid w:val="00934A3D"/>
    <w:rsid w:val="00943237"/>
    <w:rsid w:val="009445EA"/>
    <w:rsid w:val="00962313"/>
    <w:rsid w:val="009B48CB"/>
    <w:rsid w:val="009C1332"/>
    <w:rsid w:val="00A249AA"/>
    <w:rsid w:val="00A25EED"/>
    <w:rsid w:val="00A26489"/>
    <w:rsid w:val="00A41683"/>
    <w:rsid w:val="00A55E32"/>
    <w:rsid w:val="00A625A3"/>
    <w:rsid w:val="00A62F65"/>
    <w:rsid w:val="00AA53C3"/>
    <w:rsid w:val="00AC3933"/>
    <w:rsid w:val="00B22FCA"/>
    <w:rsid w:val="00BA254C"/>
    <w:rsid w:val="00BB406D"/>
    <w:rsid w:val="00C17335"/>
    <w:rsid w:val="00C302C2"/>
    <w:rsid w:val="00C4432C"/>
    <w:rsid w:val="00C45251"/>
    <w:rsid w:val="00C53170"/>
    <w:rsid w:val="00C71F84"/>
    <w:rsid w:val="00C7255A"/>
    <w:rsid w:val="00C75D6E"/>
    <w:rsid w:val="00C938C5"/>
    <w:rsid w:val="00CD1EFE"/>
    <w:rsid w:val="00D56C02"/>
    <w:rsid w:val="00D6095A"/>
    <w:rsid w:val="00DB2787"/>
    <w:rsid w:val="00E05AB1"/>
    <w:rsid w:val="00E14F0C"/>
    <w:rsid w:val="00E150E0"/>
    <w:rsid w:val="00E436FD"/>
    <w:rsid w:val="00EB28CB"/>
    <w:rsid w:val="00ED3DAE"/>
    <w:rsid w:val="00EE1491"/>
    <w:rsid w:val="00EF71B4"/>
    <w:rsid w:val="00F13A12"/>
    <w:rsid w:val="00F227FC"/>
    <w:rsid w:val="00F85847"/>
    <w:rsid w:val="00F91EAC"/>
    <w:rsid w:val="00F963A6"/>
    <w:rsid w:val="00FB641E"/>
    <w:rsid w:val="00FE225E"/>
    <w:rsid w:val="00FE7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4C1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691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8691D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69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91D"/>
    <w:rPr>
      <w:rFonts w:ascii="Tahoma" w:hAnsi="Tahoma" w:cs="Tahoma"/>
      <w:sz w:val="16"/>
      <w:szCs w:val="16"/>
      <w:lang w:val="ro-RO"/>
    </w:rPr>
  </w:style>
  <w:style w:type="paragraph" w:styleId="ListParagraph">
    <w:name w:val="List Paragraph"/>
    <w:basedOn w:val="Normal"/>
    <w:uiPriority w:val="34"/>
    <w:qFormat/>
    <w:rsid w:val="00EB28CB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25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06E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89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m-a-puzzle.com/share/8b98a450623ad1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A3A75-49AB-42DC-9D56-A713ECFA2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Mihai</cp:lastModifiedBy>
  <cp:revision>87</cp:revision>
  <dcterms:created xsi:type="dcterms:W3CDTF">2023-07-30T20:34:00Z</dcterms:created>
  <dcterms:modified xsi:type="dcterms:W3CDTF">2023-11-04T15:59:00Z</dcterms:modified>
</cp:coreProperties>
</file>