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D1A" w:rsidRDefault="00914D1A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 w:rsidRPr="00C606B9">
        <w:rPr>
          <w:b/>
          <w:sz w:val="32"/>
          <w:lang w:val="en-US"/>
        </w:rPr>
        <w:t>Assignments and Activities</w:t>
      </w:r>
      <w:r>
        <w:rPr>
          <w:b/>
          <w:sz w:val="32"/>
          <w:lang w:val="en-US"/>
        </w:rPr>
        <w:t xml:space="preserve"> - </w:t>
      </w:r>
      <w:r w:rsidR="00845D10">
        <w:rPr>
          <w:b/>
          <w:sz w:val="32"/>
          <w:lang w:val="en-US"/>
        </w:rPr>
        <w:t>4</w:t>
      </w:r>
    </w:p>
    <w:p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6C14C1" w:rsidRDefault="006C14C1">
      <w:pPr>
        <w:rPr>
          <w:lang w:val="en-US"/>
        </w:rPr>
      </w:pP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r w:rsidRPr="00A81CA5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Pr="00A81CA5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 w:rsidR="00561481">
        <w:rPr>
          <w:b/>
          <w:sz w:val="32"/>
          <w:lang w:val="en-US"/>
        </w:rPr>
        <w:t>Test your understanding</w:t>
      </w: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:rsidR="00C302C2" w:rsidRPr="00E150E0" w:rsidRDefault="00C302C2" w:rsidP="00845D10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842F52">
        <w:rPr>
          <w:b/>
          <w:bCs/>
          <w:lang w:val="en-US"/>
        </w:rPr>
        <w:t xml:space="preserve">Question 1: </w:t>
      </w:r>
      <w:r w:rsidR="00845D10" w:rsidRPr="00845D10">
        <w:rPr>
          <w:lang w:val="en-US"/>
        </w:rPr>
        <w:t xml:space="preserve">A drug called </w:t>
      </w:r>
      <w:r w:rsidR="00845D10" w:rsidRPr="00845D10">
        <w:rPr>
          <w:i/>
          <w:lang w:val="en-US"/>
        </w:rPr>
        <w:t>strychnine</w:t>
      </w:r>
      <w:r w:rsidR="00845D10" w:rsidRPr="00845D10">
        <w:rPr>
          <w:lang w:val="en-US"/>
        </w:rPr>
        <w:t>, isolated from the seeds of a tree native to India and commonly used as rat</w:t>
      </w:r>
      <w:r w:rsidR="00845D10">
        <w:rPr>
          <w:lang w:val="en-US"/>
        </w:rPr>
        <w:t xml:space="preserve"> </w:t>
      </w:r>
      <w:r w:rsidR="00845D10" w:rsidRPr="00845D10">
        <w:rPr>
          <w:lang w:val="en-US"/>
        </w:rPr>
        <w:t xml:space="preserve">poison, blocks the effects of </w:t>
      </w:r>
      <w:proofErr w:type="spellStart"/>
      <w:r w:rsidR="00845D10" w:rsidRPr="00845D10">
        <w:rPr>
          <w:lang w:val="en-US"/>
        </w:rPr>
        <w:t>glycine</w:t>
      </w:r>
      <w:proofErr w:type="spellEnd"/>
      <w:r w:rsidR="00845D10" w:rsidRPr="00845D10">
        <w:rPr>
          <w:lang w:val="en-US"/>
        </w:rPr>
        <w:t xml:space="preserve">. Is strychnine </w:t>
      </w:r>
      <w:proofErr w:type="gramStart"/>
      <w:r w:rsidR="00845D10" w:rsidRPr="00845D10">
        <w:rPr>
          <w:lang w:val="en-US"/>
        </w:rPr>
        <w:t>an</w:t>
      </w:r>
      <w:proofErr w:type="gramEnd"/>
      <w:r w:rsidR="00845D10" w:rsidRPr="00845D10">
        <w:rPr>
          <w:lang w:val="en-US"/>
        </w:rPr>
        <w:t xml:space="preserve"> agonist or an antagonist of the </w:t>
      </w:r>
      <w:proofErr w:type="spellStart"/>
      <w:r w:rsidR="00845D10" w:rsidRPr="00845D10">
        <w:rPr>
          <w:lang w:val="en-US"/>
        </w:rPr>
        <w:t>glycine</w:t>
      </w:r>
      <w:proofErr w:type="spellEnd"/>
      <w:r w:rsidR="00845D10" w:rsidRPr="00845D10">
        <w:rPr>
          <w:lang w:val="en-US"/>
        </w:rPr>
        <w:t xml:space="preserve"> receptor?</w:t>
      </w:r>
    </w:p>
    <w:p w:rsidR="00845D10" w:rsidRPr="00842F52" w:rsidRDefault="00845D10" w:rsidP="00845D10">
      <w:pPr>
        <w:rPr>
          <w:lang w:val="en-US"/>
        </w:rPr>
      </w:pPr>
      <w:r>
        <w:rPr>
          <w:lang w:val="en-US"/>
        </w:rPr>
        <w:t>______________</w:t>
      </w:r>
    </w:p>
    <w:p w:rsidR="00845D10" w:rsidRPr="00842F52" w:rsidRDefault="00845D10" w:rsidP="00845D10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C302C2" w:rsidRDefault="00C302C2" w:rsidP="009C1332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842F52">
        <w:rPr>
          <w:b/>
          <w:bCs/>
          <w:lang w:val="en-US"/>
        </w:rPr>
        <w:t xml:space="preserve">Question 2: </w:t>
      </w:r>
      <w:r w:rsidR="009C1332" w:rsidRPr="009C1332">
        <w:rPr>
          <w:sz w:val="23"/>
          <w:szCs w:val="23"/>
          <w:lang w:val="en-US"/>
        </w:rPr>
        <w:t>Why is an excitatory synapse on the soma more effective in evoking action potentials in the postsynaptic neuron than an excitatory synapse on the tip of a dendrite?</w:t>
      </w:r>
    </w:p>
    <w:p w:rsidR="00A25EED" w:rsidRPr="00842F52" w:rsidRDefault="00A25EED" w:rsidP="00A25EED">
      <w:pPr>
        <w:rPr>
          <w:lang w:val="en-US"/>
        </w:rPr>
      </w:pPr>
      <w:r>
        <w:rPr>
          <w:lang w:val="en-US"/>
        </w:rPr>
        <w:t>______________</w:t>
      </w:r>
    </w:p>
    <w:p w:rsidR="00561481" w:rsidRPr="00842F52" w:rsidRDefault="00561481" w:rsidP="00294F2A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0B1FB0" w:rsidRPr="00842F52" w:rsidRDefault="000B1FB0" w:rsidP="00294F2A">
      <w:pPr>
        <w:spacing w:after="240"/>
        <w:rPr>
          <w:lang w:val="en-US"/>
        </w:rPr>
      </w:pPr>
    </w:p>
    <w:p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561481" w:rsidRDefault="0038704D" w:rsidP="00E150E0">
      <w:pPr>
        <w:autoSpaceDE w:val="0"/>
        <w:autoSpaceDN w:val="0"/>
        <w:adjustRightInd w:val="0"/>
        <w:spacing w:line="240" w:lineRule="auto"/>
        <w:jc w:val="left"/>
        <w:rPr>
          <w:b/>
          <w:color w:val="000000" w:themeColor="text1"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2</w:t>
      </w:r>
      <w:r w:rsidRPr="00A81CA5">
        <w:rPr>
          <w:b/>
          <w:sz w:val="32"/>
          <w:lang w:val="en-US"/>
        </w:rPr>
        <w:t xml:space="preserve">: </w:t>
      </w:r>
      <w:r w:rsidR="00623CF1">
        <w:rPr>
          <w:b/>
          <w:color w:val="000000" w:themeColor="text1"/>
          <w:sz w:val="32"/>
          <w:lang w:val="en-US"/>
        </w:rPr>
        <w:t>Build the Puzzle</w:t>
      </w:r>
    </w:p>
    <w:p w:rsidR="00EB28CB" w:rsidRDefault="00EB28CB" w:rsidP="00E150E0">
      <w:pPr>
        <w:autoSpaceDE w:val="0"/>
        <w:autoSpaceDN w:val="0"/>
        <w:adjustRightInd w:val="0"/>
        <w:spacing w:line="240" w:lineRule="auto"/>
        <w:jc w:val="left"/>
        <w:rPr>
          <w:b/>
          <w:color w:val="000000" w:themeColor="text1"/>
          <w:sz w:val="32"/>
          <w:lang w:val="en-US"/>
        </w:rPr>
      </w:pPr>
    </w:p>
    <w:p w:rsidR="00EB28CB" w:rsidRPr="00BA254C" w:rsidRDefault="00EB28CB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Task 2a: </w:t>
      </w:r>
      <w:r w:rsidR="00BA254C">
        <w:rPr>
          <w:bCs/>
          <w:color w:val="000000" w:themeColor="text1"/>
          <w:lang w:val="en-US"/>
        </w:rPr>
        <w:t xml:space="preserve">Access </w:t>
      </w:r>
      <w:hyperlink r:id="rId6" w:history="1">
        <w:r w:rsidR="00BA254C" w:rsidRPr="00BA254C">
          <w:rPr>
            <w:rStyle w:val="Hyperlink"/>
            <w:bCs/>
            <w:lang w:val="en-US"/>
          </w:rPr>
          <w:t>this link</w:t>
        </w:r>
      </w:hyperlink>
      <w:r w:rsidR="00BA254C">
        <w:rPr>
          <w:bCs/>
          <w:color w:val="000000" w:themeColor="text1"/>
          <w:lang w:val="en-US"/>
        </w:rPr>
        <w:t xml:space="preserve"> and </w:t>
      </w:r>
      <w:r w:rsidR="00A55E32">
        <w:rPr>
          <w:bCs/>
          <w:color w:val="000000" w:themeColor="text1"/>
          <w:lang w:val="en-US"/>
        </w:rPr>
        <w:t xml:space="preserve">build the puzzle of the </w:t>
      </w:r>
      <w:r w:rsidR="005766A7">
        <w:rPr>
          <w:bCs/>
          <w:color w:val="000000" w:themeColor="text1"/>
          <w:lang w:val="en-US"/>
        </w:rPr>
        <w:t>synaptic transmission</w:t>
      </w:r>
      <w:r w:rsidR="00A55E32">
        <w:rPr>
          <w:bCs/>
          <w:color w:val="000000" w:themeColor="text1"/>
          <w:lang w:val="en-US"/>
        </w:rPr>
        <w:t>.</w:t>
      </w:r>
      <w:r w:rsidR="00BA254C">
        <w:rPr>
          <w:bCs/>
          <w:color w:val="000000" w:themeColor="text1"/>
          <w:lang w:val="en-US"/>
        </w:rPr>
        <w:t xml:space="preserve"> </w:t>
      </w:r>
    </w:p>
    <w:p w:rsidR="00EB28CB" w:rsidRDefault="00EB28CB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Task 2b: </w:t>
      </w:r>
      <w:r w:rsidR="00A55E32">
        <w:rPr>
          <w:bCs/>
          <w:color w:val="000000" w:themeColor="text1"/>
          <w:lang w:val="en-US"/>
        </w:rPr>
        <w:t>Once the puzzle is done</w:t>
      </w:r>
      <w:r w:rsidR="00902D20">
        <w:rPr>
          <w:bCs/>
          <w:color w:val="000000" w:themeColor="text1"/>
          <w:lang w:val="en-US"/>
        </w:rPr>
        <w:t>, arrange the following steps of the synaptic transmission in the right order</w:t>
      </w:r>
      <w:r w:rsidR="00AA53C3">
        <w:rPr>
          <w:bCs/>
          <w:color w:val="000000" w:themeColor="text1"/>
          <w:lang w:val="en-US"/>
        </w:rPr>
        <w:t xml:space="preserve"> </w:t>
      </w:r>
      <w:r w:rsidR="00902D20">
        <w:rPr>
          <w:bCs/>
          <w:color w:val="000000" w:themeColor="text1"/>
          <w:lang w:val="en-US"/>
        </w:rPr>
        <w:t xml:space="preserve">and </w:t>
      </w:r>
      <w:r w:rsidR="00FE225E">
        <w:rPr>
          <w:bCs/>
          <w:color w:val="000000" w:themeColor="text1"/>
          <w:lang w:val="en-US"/>
        </w:rPr>
        <w:t>assign them</w:t>
      </w:r>
      <w:r w:rsidR="00A26489">
        <w:rPr>
          <w:bCs/>
          <w:color w:val="000000" w:themeColor="text1"/>
          <w:lang w:val="en-US"/>
        </w:rPr>
        <w:t xml:space="preserve"> by drawing arrows</w:t>
      </w:r>
      <w:r w:rsidR="00FE225E">
        <w:rPr>
          <w:bCs/>
          <w:color w:val="000000" w:themeColor="text1"/>
          <w:lang w:val="en-US"/>
        </w:rPr>
        <w:t xml:space="preserve"> to the</w:t>
      </w:r>
      <w:r w:rsidR="005766A7">
        <w:rPr>
          <w:bCs/>
          <w:color w:val="000000" w:themeColor="text1"/>
          <w:lang w:val="en-US"/>
        </w:rPr>
        <w:t>ir</w:t>
      </w:r>
      <w:r w:rsidR="00FE225E">
        <w:rPr>
          <w:bCs/>
          <w:color w:val="000000" w:themeColor="text1"/>
          <w:lang w:val="en-US"/>
        </w:rPr>
        <w:t xml:space="preserve"> </w:t>
      </w:r>
      <w:r w:rsidR="005766A7">
        <w:rPr>
          <w:bCs/>
          <w:color w:val="000000" w:themeColor="text1"/>
          <w:lang w:val="en-US"/>
        </w:rPr>
        <w:t>corresponding</w:t>
      </w:r>
      <w:r w:rsidR="00FE225E">
        <w:rPr>
          <w:bCs/>
          <w:color w:val="000000" w:themeColor="text1"/>
          <w:lang w:val="en-US"/>
        </w:rPr>
        <w:t xml:space="preserve"> </w:t>
      </w:r>
      <w:r w:rsidR="005766A7">
        <w:rPr>
          <w:bCs/>
          <w:color w:val="000000" w:themeColor="text1"/>
          <w:lang w:val="en-US"/>
        </w:rPr>
        <w:t>representation</w:t>
      </w:r>
      <w:r w:rsidR="00FE225E">
        <w:rPr>
          <w:bCs/>
          <w:color w:val="000000" w:themeColor="text1"/>
          <w:lang w:val="en-US"/>
        </w:rPr>
        <w:t xml:space="preserve"> </w:t>
      </w:r>
      <w:r w:rsidR="005766A7">
        <w:rPr>
          <w:bCs/>
          <w:color w:val="000000" w:themeColor="text1"/>
          <w:lang w:val="en-US"/>
        </w:rPr>
        <w:t>in</w:t>
      </w:r>
      <w:r w:rsidR="00FE225E">
        <w:rPr>
          <w:bCs/>
          <w:color w:val="000000" w:themeColor="text1"/>
          <w:lang w:val="en-US"/>
        </w:rPr>
        <w:t xml:space="preserve"> the image of the synaptic transmission.</w:t>
      </w:r>
    </w:p>
    <w:p w:rsidR="004D0E6B" w:rsidRDefault="004D0E6B" w:rsidP="004D0E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Ca</w:t>
      </w:r>
      <w:r>
        <w:rPr>
          <w:bCs/>
          <w:color w:val="000000" w:themeColor="text1"/>
          <w:vertAlign w:val="superscript"/>
          <w:lang w:val="en-US"/>
        </w:rPr>
        <w:t xml:space="preserve">2+ </w:t>
      </w:r>
      <w:r>
        <w:rPr>
          <w:bCs/>
          <w:color w:val="000000" w:themeColor="text1"/>
          <w:lang w:val="en-US"/>
        </w:rPr>
        <w:t>allows vesicle docking and neurotransmitter release.</w:t>
      </w:r>
    </w:p>
    <w:p w:rsidR="004D0E6B" w:rsidRPr="004D0E6B" w:rsidRDefault="004D0E6B" w:rsidP="004D0E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Vesicular membrane is retrieved from the plasma membrane.</w:t>
      </w:r>
    </w:p>
    <w:p w:rsidR="003D059F" w:rsidRDefault="003D059F" w:rsidP="004D0E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Neurotransmitters are synthesized and stored in vesicles.</w:t>
      </w:r>
    </w:p>
    <w:p w:rsidR="00E05AB1" w:rsidRDefault="00FE7676" w:rsidP="004D0E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Excitatory (or inhibitory) postsynaptic potential is generated.</w:t>
      </w:r>
    </w:p>
    <w:p w:rsidR="00EE1491" w:rsidRDefault="00EE1491" w:rsidP="004D0E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Neurotransmitter is removed by </w:t>
      </w:r>
      <w:proofErr w:type="spellStart"/>
      <w:r>
        <w:rPr>
          <w:bCs/>
          <w:color w:val="000000" w:themeColor="text1"/>
          <w:lang w:val="en-US"/>
        </w:rPr>
        <w:t>glial</w:t>
      </w:r>
      <w:proofErr w:type="spellEnd"/>
      <w:r>
        <w:rPr>
          <w:bCs/>
          <w:color w:val="000000" w:themeColor="text1"/>
          <w:lang w:val="en-US"/>
        </w:rPr>
        <w:t xml:space="preserve"> uptake (or enzymatic degradation).</w:t>
      </w:r>
    </w:p>
    <w:p w:rsidR="004D0E6B" w:rsidRDefault="004D0E6B" w:rsidP="004D0E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Voltage-gated Ca</w:t>
      </w:r>
      <w:r>
        <w:rPr>
          <w:bCs/>
          <w:color w:val="000000" w:themeColor="text1"/>
          <w:vertAlign w:val="superscript"/>
          <w:lang w:val="en-US"/>
        </w:rPr>
        <w:t>2+</w:t>
      </w:r>
      <w:r>
        <w:rPr>
          <w:bCs/>
          <w:color w:val="000000" w:themeColor="text1"/>
          <w:lang w:val="en-US"/>
        </w:rPr>
        <w:t xml:space="preserve"> channels open, allowing influx of Ca</w:t>
      </w:r>
      <w:r>
        <w:rPr>
          <w:bCs/>
          <w:color w:val="000000" w:themeColor="text1"/>
          <w:vertAlign w:val="superscript"/>
          <w:lang w:val="en-US"/>
        </w:rPr>
        <w:t>2+</w:t>
      </w:r>
      <w:r>
        <w:rPr>
          <w:bCs/>
          <w:color w:val="000000" w:themeColor="text1"/>
          <w:lang w:val="en-US"/>
        </w:rPr>
        <w:t>.</w:t>
      </w:r>
    </w:p>
    <w:p w:rsidR="004D0E6B" w:rsidRDefault="004D0E6B" w:rsidP="004D0E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Action potential arrives at the </w:t>
      </w:r>
      <w:proofErr w:type="spellStart"/>
      <w:r>
        <w:rPr>
          <w:bCs/>
          <w:color w:val="000000" w:themeColor="text1"/>
          <w:lang w:val="en-US"/>
        </w:rPr>
        <w:t>presynaptic</w:t>
      </w:r>
      <w:proofErr w:type="spellEnd"/>
      <w:r>
        <w:rPr>
          <w:bCs/>
          <w:color w:val="000000" w:themeColor="text1"/>
          <w:lang w:val="en-US"/>
        </w:rPr>
        <w:t xml:space="preserve"> terminal.</w:t>
      </w:r>
    </w:p>
    <w:p w:rsidR="00430F18" w:rsidRPr="00430F18" w:rsidRDefault="00430F18" w:rsidP="00430F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Neurotransmitter binds to the receptors, causing channels to open (or close).</w:t>
      </w:r>
    </w:p>
    <w:p w:rsidR="00FE7676" w:rsidRPr="00EE1491" w:rsidRDefault="00FE7676" w:rsidP="00F963A6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</w:p>
    <w:p w:rsidR="005766A7" w:rsidRDefault="005766A7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</w:p>
    <w:p w:rsidR="00FE225E" w:rsidRPr="00A55E32" w:rsidRDefault="0090785B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>
        <w:rPr>
          <w:bCs/>
          <w:noProof/>
          <w:color w:val="000000" w:themeColor="text1"/>
          <w:lang w:val="en-US"/>
        </w:rPr>
        <w:drawing>
          <wp:inline distT="0" distB="0" distL="0" distR="0">
            <wp:extent cx="5934075" cy="4986655"/>
            <wp:effectExtent l="0" t="0" r="0" b="0"/>
            <wp:docPr id="95604053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1D" w:rsidRDefault="0008691D" w:rsidP="00294F2A">
      <w:pPr>
        <w:spacing w:after="240"/>
        <w:rPr>
          <w:lang w:val="en-US"/>
        </w:rPr>
      </w:pPr>
      <w:r>
        <w:rPr>
          <w:lang w:val="en-US"/>
        </w:rPr>
        <w:br w:type="page"/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3</w:t>
      </w:r>
      <w:r w:rsidRPr="00A81CA5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 xml:space="preserve">Draw me a Brain Ep. </w:t>
      </w:r>
      <w:r w:rsidR="00AC3933">
        <w:rPr>
          <w:b/>
          <w:sz w:val="32"/>
          <w:lang w:val="en-US"/>
        </w:rPr>
        <w:t>4</w:t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08691D" w:rsidRPr="00AF4E95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Draw this (</w:t>
      </w:r>
      <w:hyperlink r:id="rId8" w:history="1">
        <w:r w:rsidRPr="009463A4">
          <w:rPr>
            <w:rStyle w:val="Hyperlink"/>
            <w:sz w:val="32"/>
            <w:lang w:val="en-US"/>
          </w:rPr>
          <w:t>link to editable drawing here</w:t>
        </w:r>
      </w:hyperlink>
      <w:r>
        <w:rPr>
          <w:sz w:val="32"/>
          <w:lang w:val="en-US"/>
        </w:rPr>
        <w:t>):</w:t>
      </w:r>
    </w:p>
    <w:tbl>
      <w:tblPr>
        <w:tblStyle w:val="TableGrid"/>
        <w:tblW w:w="5000" w:type="pct"/>
        <w:tblLook w:val="04A0"/>
      </w:tblPr>
      <w:tblGrid>
        <w:gridCol w:w="9576"/>
      </w:tblGrid>
      <w:tr w:rsidR="0008691D" w:rsidTr="00FD20C9">
        <w:tc>
          <w:tcPr>
            <w:tcW w:w="5000" w:type="pct"/>
          </w:tcPr>
          <w:p w:rsidR="00A625A3" w:rsidRPr="00FD20C9" w:rsidRDefault="00FD20C9" w:rsidP="00E07CC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053616" cy="7505700"/>
                  <wp:effectExtent l="19050" t="0" r="4284" b="0"/>
                  <wp:docPr id="3" name="Picture 3" descr="E:\FACULTATE - CURSURI\NeuroScience\000 Main\MyCourse\04_Ch5 Synaptic Transmission\DMAB-4\DMAB-4_fin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FACULTATE - CURSURI\NeuroScience\000 Main\MyCourse\04_Ch5 Synaptic Transmission\DMAB-4\DMAB-4_fin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3464" cy="7505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D24" w:rsidRDefault="00626D24" w:rsidP="00602B71">
      <w:pPr>
        <w:rPr>
          <w:sz w:val="32"/>
          <w:lang w:val="en-US"/>
        </w:rPr>
      </w:pPr>
    </w:p>
    <w:p w:rsidR="0008691D" w:rsidRPr="00AF4E95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Your turn</w:t>
      </w:r>
      <w:r w:rsidRPr="00AF4E95">
        <w:rPr>
          <w:sz w:val="32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8691D" w:rsidRPr="00A41683" w:rsidTr="00904382">
        <w:tc>
          <w:tcPr>
            <w:tcW w:w="9576" w:type="dxa"/>
          </w:tcPr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Default="0008691D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Pr="00A41683" w:rsidRDefault="00406051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</w:tc>
      </w:tr>
    </w:tbl>
    <w:p w:rsidR="00C302C2" w:rsidRPr="00C302C2" w:rsidRDefault="00C302C2" w:rsidP="00D11A75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302C2"/>
    <w:rsid w:val="000118EF"/>
    <w:rsid w:val="00015826"/>
    <w:rsid w:val="000247CF"/>
    <w:rsid w:val="000618A8"/>
    <w:rsid w:val="0008691D"/>
    <w:rsid w:val="000B1FB0"/>
    <w:rsid w:val="00134A49"/>
    <w:rsid w:val="00147C75"/>
    <w:rsid w:val="001E2D25"/>
    <w:rsid w:val="001E309D"/>
    <w:rsid w:val="001F09D1"/>
    <w:rsid w:val="002325AB"/>
    <w:rsid w:val="0024159C"/>
    <w:rsid w:val="00283F06"/>
    <w:rsid w:val="00294F2A"/>
    <w:rsid w:val="002A06E5"/>
    <w:rsid w:val="003062C9"/>
    <w:rsid w:val="0038704D"/>
    <w:rsid w:val="003C6389"/>
    <w:rsid w:val="003D059F"/>
    <w:rsid w:val="00406051"/>
    <w:rsid w:val="00430F18"/>
    <w:rsid w:val="004563E3"/>
    <w:rsid w:val="00472F3A"/>
    <w:rsid w:val="004D0E6B"/>
    <w:rsid w:val="004E12BF"/>
    <w:rsid w:val="005449D6"/>
    <w:rsid w:val="00561481"/>
    <w:rsid w:val="005766A7"/>
    <w:rsid w:val="005B2438"/>
    <w:rsid w:val="005E0CDE"/>
    <w:rsid w:val="00602B71"/>
    <w:rsid w:val="00623CF1"/>
    <w:rsid w:val="00626D24"/>
    <w:rsid w:val="006C14C1"/>
    <w:rsid w:val="006F40D2"/>
    <w:rsid w:val="00715498"/>
    <w:rsid w:val="0072205D"/>
    <w:rsid w:val="007D5FBF"/>
    <w:rsid w:val="007E2C57"/>
    <w:rsid w:val="007F4449"/>
    <w:rsid w:val="00842F52"/>
    <w:rsid w:val="00845D10"/>
    <w:rsid w:val="00902D20"/>
    <w:rsid w:val="0090785B"/>
    <w:rsid w:val="00914D1A"/>
    <w:rsid w:val="00924738"/>
    <w:rsid w:val="00934A3D"/>
    <w:rsid w:val="00943237"/>
    <w:rsid w:val="009445EA"/>
    <w:rsid w:val="00962313"/>
    <w:rsid w:val="009C1332"/>
    <w:rsid w:val="00A25EED"/>
    <w:rsid w:val="00A26489"/>
    <w:rsid w:val="00A41683"/>
    <w:rsid w:val="00A55E32"/>
    <w:rsid w:val="00A625A3"/>
    <w:rsid w:val="00A62F65"/>
    <w:rsid w:val="00AA53C3"/>
    <w:rsid w:val="00AC3933"/>
    <w:rsid w:val="00AD52BB"/>
    <w:rsid w:val="00B22FCA"/>
    <w:rsid w:val="00BA254C"/>
    <w:rsid w:val="00BA65E2"/>
    <w:rsid w:val="00BB406D"/>
    <w:rsid w:val="00C17335"/>
    <w:rsid w:val="00C302C2"/>
    <w:rsid w:val="00C4432C"/>
    <w:rsid w:val="00C45251"/>
    <w:rsid w:val="00C53170"/>
    <w:rsid w:val="00C71F84"/>
    <w:rsid w:val="00C938C5"/>
    <w:rsid w:val="00CD1EFE"/>
    <w:rsid w:val="00D11A75"/>
    <w:rsid w:val="00D56C02"/>
    <w:rsid w:val="00D6095A"/>
    <w:rsid w:val="00DB2787"/>
    <w:rsid w:val="00E05AB1"/>
    <w:rsid w:val="00E07CC1"/>
    <w:rsid w:val="00E14F0C"/>
    <w:rsid w:val="00E150E0"/>
    <w:rsid w:val="00E436FD"/>
    <w:rsid w:val="00EB28CB"/>
    <w:rsid w:val="00EE1491"/>
    <w:rsid w:val="00F227FC"/>
    <w:rsid w:val="00F85847"/>
    <w:rsid w:val="00F91EAC"/>
    <w:rsid w:val="00F963A6"/>
    <w:rsid w:val="00FB641E"/>
    <w:rsid w:val="00FD20C9"/>
    <w:rsid w:val="00FE225E"/>
    <w:rsid w:val="00FE7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9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691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6E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udiuPapasteri/DrawMeABrain/tree/main/DMAB-4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-a-puzzle.com/share/eac27b1edb8ede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93DBA-FC84-4E1D-82F9-974BE6A9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70</cp:revision>
  <dcterms:created xsi:type="dcterms:W3CDTF">2023-07-30T20:34:00Z</dcterms:created>
  <dcterms:modified xsi:type="dcterms:W3CDTF">2023-10-29T15:52:00Z</dcterms:modified>
</cp:coreProperties>
</file>