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D1A" w:rsidRDefault="00914D1A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 w:rsidRPr="00C606B9">
        <w:rPr>
          <w:b/>
          <w:sz w:val="32"/>
          <w:lang w:val="en-US"/>
        </w:rPr>
        <w:t>Assignments and Activities</w:t>
      </w:r>
      <w:r>
        <w:rPr>
          <w:b/>
          <w:sz w:val="32"/>
          <w:lang w:val="en-US"/>
        </w:rPr>
        <w:t xml:space="preserve"> - </w:t>
      </w:r>
      <w:r w:rsidR="002C75F9">
        <w:rPr>
          <w:b/>
          <w:sz w:val="32"/>
          <w:lang w:val="en-US"/>
        </w:rPr>
        <w:t>8</w:t>
      </w:r>
    </w:p>
    <w:p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6C14C1" w:rsidRDefault="006C14C1">
      <w:pPr>
        <w:rPr>
          <w:lang w:val="en-US"/>
        </w:rPr>
      </w:pP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r w:rsidRPr="00A81CA5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Pr="00A81CA5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="00561481">
        <w:rPr>
          <w:b/>
          <w:sz w:val="32"/>
          <w:lang w:val="en-US"/>
        </w:rPr>
        <w:t>Test your understanding</w:t>
      </w: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bookmarkStart w:id="0" w:name="_GoBack"/>
      <w:bookmarkEnd w:id="0"/>
    </w:p>
    <w:p w:rsidR="00C302C2" w:rsidRPr="002C75F9" w:rsidRDefault="00C302C2" w:rsidP="00BE5B5B">
      <w:pPr>
        <w:autoSpaceDE w:val="0"/>
        <w:autoSpaceDN w:val="0"/>
        <w:adjustRightInd w:val="0"/>
        <w:spacing w:line="240" w:lineRule="auto"/>
        <w:jc w:val="left"/>
        <w:rPr>
          <w:color w:val="FF0000"/>
          <w:lang w:val="en-US"/>
        </w:rPr>
      </w:pPr>
      <w:r w:rsidRPr="00BA62CB">
        <w:rPr>
          <w:b/>
          <w:bCs/>
          <w:lang w:val="en-US"/>
        </w:rPr>
        <w:t xml:space="preserve">Question 1: </w:t>
      </w:r>
      <w:r w:rsidR="00084419" w:rsidRPr="002021D6">
        <w:rPr>
          <w:lang w:val="en-US"/>
        </w:rPr>
        <w:t>What lobe of the cortex contains the main somat</w:t>
      </w:r>
      <w:r w:rsidR="002021D6" w:rsidRPr="002021D6">
        <w:rPr>
          <w:lang w:val="en-US"/>
        </w:rPr>
        <w:t>o</w:t>
      </w:r>
      <w:r w:rsidR="00084419" w:rsidRPr="002021D6">
        <w:rPr>
          <w:lang w:val="en-US"/>
        </w:rPr>
        <w:t>sensory areas?</w:t>
      </w:r>
      <w:r w:rsidR="002021D6" w:rsidRPr="002021D6">
        <w:rPr>
          <w:lang w:val="en-US"/>
        </w:rPr>
        <w:t xml:space="preserve"> What lobe contains the motor cortex? Contrast their locations with that of primary visual cortex involved in seeing and frontal eye field involved in eye movement.</w:t>
      </w:r>
      <w:r w:rsidR="002021D6">
        <w:rPr>
          <w:color w:val="FF0000"/>
          <w:lang w:val="en-US"/>
        </w:rPr>
        <w:t xml:space="preserve"> </w:t>
      </w:r>
    </w:p>
    <w:p w:rsidR="00845D10" w:rsidRPr="00BA62CB" w:rsidRDefault="00845D10" w:rsidP="00845D10">
      <w:pPr>
        <w:rPr>
          <w:lang w:val="en-US"/>
        </w:rPr>
      </w:pPr>
      <w:r w:rsidRPr="00BA62CB">
        <w:rPr>
          <w:lang w:val="en-US"/>
        </w:rPr>
        <w:t>______________</w:t>
      </w:r>
    </w:p>
    <w:p w:rsidR="00845D10" w:rsidRPr="00BA62CB" w:rsidRDefault="00845D10" w:rsidP="00845D10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:rsidR="00102062" w:rsidRPr="00BE5B5B" w:rsidRDefault="00C302C2" w:rsidP="002314E0">
      <w:pPr>
        <w:autoSpaceDE w:val="0"/>
        <w:autoSpaceDN w:val="0"/>
        <w:adjustRightInd w:val="0"/>
        <w:spacing w:line="240" w:lineRule="auto"/>
        <w:jc w:val="left"/>
        <w:rPr>
          <w:color w:val="FF0000"/>
          <w:sz w:val="23"/>
          <w:szCs w:val="23"/>
          <w:lang w:val="en-US"/>
        </w:rPr>
      </w:pPr>
      <w:r w:rsidRPr="00BA62CB">
        <w:rPr>
          <w:b/>
          <w:bCs/>
          <w:lang w:val="en-US"/>
        </w:rPr>
        <w:t xml:space="preserve">Question 2: </w:t>
      </w:r>
      <w:r w:rsidR="002314E0" w:rsidRPr="002314E0">
        <w:rPr>
          <w:lang w:val="en-US"/>
        </w:rPr>
        <w:t>If someone tossed you a hot potato and you caught it, which information would reach your CNS first — news that the potato was hot or that it was relatively smooth? Why?</w:t>
      </w:r>
    </w:p>
    <w:p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:rsidR="000B1FB0" w:rsidRPr="00842F52" w:rsidRDefault="000B1FB0" w:rsidP="00294F2A">
      <w:pPr>
        <w:spacing w:after="240"/>
        <w:rPr>
          <w:lang w:val="en-US"/>
        </w:rPr>
      </w:pPr>
    </w:p>
    <w:p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5766A7" w:rsidRPr="002C75F9" w:rsidRDefault="00EA4D97" w:rsidP="003A5D48">
      <w:pPr>
        <w:autoSpaceDE w:val="0"/>
        <w:autoSpaceDN w:val="0"/>
        <w:adjustRightInd w:val="0"/>
        <w:spacing w:line="240" w:lineRule="auto"/>
        <w:jc w:val="left"/>
        <w:rPr>
          <w:bCs/>
          <w:color w:val="FF000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C48B1EF">
            <wp:simplePos x="0" y="0"/>
            <wp:positionH relativeFrom="column">
              <wp:posOffset>3345180</wp:posOffset>
            </wp:positionH>
            <wp:positionV relativeFrom="paragraph">
              <wp:posOffset>-792480</wp:posOffset>
            </wp:positionV>
            <wp:extent cx="2019300" cy="1162050"/>
            <wp:effectExtent l="0" t="0" r="0" b="0"/>
            <wp:wrapThrough wrapText="bothSides">
              <wp:wrapPolygon edited="0">
                <wp:start x="0" y="0"/>
                <wp:lineTo x="0" y="21246"/>
                <wp:lineTo x="21396" y="21246"/>
                <wp:lineTo x="21396" y="0"/>
                <wp:lineTo x="0" y="0"/>
              </wp:wrapPolygon>
            </wp:wrapThrough>
            <wp:docPr id="7" name="Picture 7" descr="geldard f a and sherrick c e 1972 the cutane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ldard f a and sherrick c e 1972 the cutaneou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3" t="20000" r="16539" b="27863"/>
                    <a:stretch/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8704D" w:rsidRPr="00A81CA5">
        <w:rPr>
          <w:b/>
          <w:sz w:val="32"/>
          <w:lang w:val="en-US"/>
        </w:rPr>
        <w:t xml:space="preserve">Task </w:t>
      </w:r>
      <w:r w:rsidR="000B1FB0">
        <w:rPr>
          <w:b/>
          <w:sz w:val="32"/>
          <w:lang w:val="en-US"/>
        </w:rPr>
        <w:t>2</w:t>
      </w:r>
      <w:r w:rsidR="0038704D" w:rsidRPr="00A81CA5">
        <w:rPr>
          <w:b/>
          <w:sz w:val="32"/>
          <w:lang w:val="en-US"/>
        </w:rPr>
        <w:t xml:space="preserve">: </w:t>
      </w:r>
      <w:r w:rsidR="004645DD" w:rsidRPr="004645DD">
        <w:rPr>
          <w:b/>
          <w:sz w:val="32"/>
          <w:lang w:val="en-US"/>
        </w:rPr>
        <w:t>Psychophysics experiment</w:t>
      </w:r>
      <w:r w:rsidR="004645DD">
        <w:rPr>
          <w:b/>
          <w:sz w:val="32"/>
          <w:lang w:val="en-US"/>
        </w:rPr>
        <w:t xml:space="preserve"> </w:t>
      </w:r>
    </w:p>
    <w:p w:rsidR="00FE225E" w:rsidRPr="00A55E32" w:rsidRDefault="00FE225E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p w:rsidR="00EA4D97" w:rsidRDefault="004645DD" w:rsidP="004645DD">
      <w:pPr>
        <w:rPr>
          <w:lang w:val="en-US"/>
        </w:rPr>
      </w:pPr>
      <w:r w:rsidRPr="004645DD">
        <w:rPr>
          <w:lang w:val="en-US"/>
        </w:rPr>
        <w:t>Research the “cutaneous rabbit” illusion or another somatosensory illusion online.</w:t>
      </w:r>
      <w:r>
        <w:rPr>
          <w:lang w:val="en-US"/>
        </w:rPr>
        <w:t xml:space="preserve"> </w:t>
      </w:r>
    </w:p>
    <w:p w:rsidR="00B52F33" w:rsidRPr="00EA4D97" w:rsidRDefault="00B52F33" w:rsidP="00EA4D97">
      <w:pPr>
        <w:pStyle w:val="ListParagraph"/>
        <w:numPr>
          <w:ilvl w:val="0"/>
          <w:numId w:val="4"/>
        </w:numPr>
        <w:rPr>
          <w:lang w:val="en-US"/>
        </w:rPr>
      </w:pPr>
      <w:r w:rsidRPr="00EA4D97">
        <w:rPr>
          <w:lang w:val="en-US"/>
        </w:rPr>
        <w:t>Original article:</w:t>
      </w:r>
      <w:r w:rsidR="00EA4D97" w:rsidRPr="00EA4D97">
        <w:rPr>
          <w:lang w:val="en-US"/>
        </w:rPr>
        <w:t xml:space="preserve"> </w:t>
      </w:r>
      <w:proofErr w:type="spellStart"/>
      <w:r w:rsidR="00EA4D97" w:rsidRPr="00EA4D97">
        <w:rPr>
          <w:shd w:val="clear" w:color="auto" w:fill="FFFFFF"/>
        </w:rPr>
        <w:t>Geldard</w:t>
      </w:r>
      <w:proofErr w:type="spellEnd"/>
      <w:r w:rsidR="00EA4D97" w:rsidRPr="00EA4D97">
        <w:rPr>
          <w:shd w:val="clear" w:color="auto" w:fill="FFFFFF"/>
        </w:rPr>
        <w:t xml:space="preserve">, F. A., &amp; </w:t>
      </w:r>
      <w:proofErr w:type="spellStart"/>
      <w:r w:rsidR="00EA4D97" w:rsidRPr="00EA4D97">
        <w:rPr>
          <w:shd w:val="clear" w:color="auto" w:fill="FFFFFF"/>
        </w:rPr>
        <w:t>Sherrick</w:t>
      </w:r>
      <w:proofErr w:type="spellEnd"/>
      <w:r w:rsidR="00EA4D97" w:rsidRPr="00EA4D97">
        <w:rPr>
          <w:shd w:val="clear" w:color="auto" w:fill="FFFFFF"/>
        </w:rPr>
        <w:t xml:space="preserve">, C. E. (1972). The </w:t>
      </w:r>
      <w:proofErr w:type="spellStart"/>
      <w:r w:rsidR="00EA4D97" w:rsidRPr="00EA4D97">
        <w:rPr>
          <w:shd w:val="clear" w:color="auto" w:fill="FFFFFF"/>
        </w:rPr>
        <w:t>cutaneous</w:t>
      </w:r>
      <w:proofErr w:type="spellEnd"/>
      <w:r w:rsidR="00EA4D97" w:rsidRPr="00EA4D97">
        <w:rPr>
          <w:shd w:val="clear" w:color="auto" w:fill="FFFFFF"/>
        </w:rPr>
        <w:t xml:space="preserve">" </w:t>
      </w:r>
      <w:proofErr w:type="spellStart"/>
      <w:r w:rsidR="00EA4D97" w:rsidRPr="00EA4D97">
        <w:rPr>
          <w:shd w:val="clear" w:color="auto" w:fill="FFFFFF"/>
        </w:rPr>
        <w:t>rabbit</w:t>
      </w:r>
      <w:proofErr w:type="spellEnd"/>
      <w:r w:rsidR="00EA4D97" w:rsidRPr="00EA4D97">
        <w:rPr>
          <w:shd w:val="clear" w:color="auto" w:fill="FFFFFF"/>
        </w:rPr>
        <w:t xml:space="preserve">": a perceptual </w:t>
      </w:r>
      <w:proofErr w:type="spellStart"/>
      <w:r w:rsidR="00EA4D97" w:rsidRPr="00EA4D97">
        <w:rPr>
          <w:shd w:val="clear" w:color="auto" w:fill="FFFFFF"/>
        </w:rPr>
        <w:t>illusion</w:t>
      </w:r>
      <w:proofErr w:type="spellEnd"/>
      <w:r w:rsidR="00EA4D97" w:rsidRPr="00EA4D97">
        <w:rPr>
          <w:shd w:val="clear" w:color="auto" w:fill="FFFFFF"/>
        </w:rPr>
        <w:t>. </w:t>
      </w:r>
      <w:proofErr w:type="spellStart"/>
      <w:r w:rsidR="00EA4D97" w:rsidRPr="00EA4D97">
        <w:rPr>
          <w:i/>
          <w:iCs/>
          <w:shd w:val="clear" w:color="auto" w:fill="FFFFFF"/>
        </w:rPr>
        <w:t>Science</w:t>
      </w:r>
      <w:proofErr w:type="spellEnd"/>
      <w:r w:rsidR="00EA4D97" w:rsidRPr="00EA4D97">
        <w:rPr>
          <w:shd w:val="clear" w:color="auto" w:fill="FFFFFF"/>
        </w:rPr>
        <w:t>, </w:t>
      </w:r>
      <w:r w:rsidR="00EA4D97" w:rsidRPr="00EA4D97">
        <w:rPr>
          <w:i/>
          <w:iCs/>
          <w:shd w:val="clear" w:color="auto" w:fill="FFFFFF"/>
        </w:rPr>
        <w:t>178</w:t>
      </w:r>
      <w:r w:rsidR="00EA4D97" w:rsidRPr="00EA4D97">
        <w:rPr>
          <w:shd w:val="clear" w:color="auto" w:fill="FFFFFF"/>
        </w:rPr>
        <w:t>(4057), 178-179.</w:t>
      </w:r>
      <w:r w:rsidR="00EA4D97" w:rsidRPr="00EA4D97">
        <w:rPr>
          <w:shd w:val="clear" w:color="auto" w:fill="FFFFFF"/>
        </w:rPr>
        <w:t xml:space="preserve"> doi: </w:t>
      </w:r>
      <w:hyperlink r:id="rId7" w:history="1">
        <w:r w:rsidR="00EA4D97" w:rsidRPr="00EA4D97">
          <w:rPr>
            <w:rStyle w:val="Hyperlink"/>
            <w:color w:val="auto"/>
            <w:shd w:val="clear" w:color="auto" w:fill="FFFFFF"/>
          </w:rPr>
          <w:t>10.1126/science.178.4057.178</w:t>
        </w:r>
      </w:hyperlink>
    </w:p>
    <w:p w:rsidR="00B52F33" w:rsidRPr="00EA4D97" w:rsidRDefault="00EA4D97" w:rsidP="00EA4D97">
      <w:pPr>
        <w:pStyle w:val="ListParagraph"/>
        <w:numPr>
          <w:ilvl w:val="0"/>
          <w:numId w:val="4"/>
        </w:numPr>
        <w:rPr>
          <w:lang w:val="en-US"/>
        </w:rPr>
      </w:pPr>
      <w:r w:rsidRPr="00EA4D97">
        <w:rPr>
          <w:lang w:val="en-US"/>
        </w:rPr>
        <w:t xml:space="preserve">Additional reading: </w:t>
      </w:r>
      <w:proofErr w:type="spellStart"/>
      <w:r w:rsidRPr="00EA4D97">
        <w:rPr>
          <w:shd w:val="clear" w:color="auto" w:fill="FFFFFF"/>
        </w:rPr>
        <w:t>Flach</w:t>
      </w:r>
      <w:proofErr w:type="spellEnd"/>
      <w:r w:rsidRPr="00EA4D97">
        <w:rPr>
          <w:shd w:val="clear" w:color="auto" w:fill="FFFFFF"/>
        </w:rPr>
        <w:t xml:space="preserve">, R., &amp; </w:t>
      </w:r>
      <w:proofErr w:type="spellStart"/>
      <w:r w:rsidRPr="00EA4D97">
        <w:rPr>
          <w:shd w:val="clear" w:color="auto" w:fill="FFFFFF"/>
        </w:rPr>
        <w:t>Haggard</w:t>
      </w:r>
      <w:proofErr w:type="spellEnd"/>
      <w:r w:rsidRPr="00EA4D97">
        <w:rPr>
          <w:shd w:val="clear" w:color="auto" w:fill="FFFFFF"/>
        </w:rPr>
        <w:t xml:space="preserve">, P. (2006). The </w:t>
      </w:r>
      <w:proofErr w:type="spellStart"/>
      <w:r w:rsidRPr="00EA4D97">
        <w:rPr>
          <w:shd w:val="clear" w:color="auto" w:fill="FFFFFF"/>
        </w:rPr>
        <w:t>cutaneous</w:t>
      </w:r>
      <w:proofErr w:type="spellEnd"/>
      <w:r w:rsidRPr="00EA4D97">
        <w:rPr>
          <w:shd w:val="clear" w:color="auto" w:fill="FFFFFF"/>
        </w:rPr>
        <w:t xml:space="preserve"> </w:t>
      </w:r>
      <w:proofErr w:type="spellStart"/>
      <w:r w:rsidRPr="00EA4D97">
        <w:rPr>
          <w:shd w:val="clear" w:color="auto" w:fill="FFFFFF"/>
        </w:rPr>
        <w:t>rabbit</w:t>
      </w:r>
      <w:proofErr w:type="spellEnd"/>
      <w:r w:rsidRPr="00EA4D97">
        <w:rPr>
          <w:shd w:val="clear" w:color="auto" w:fill="FFFFFF"/>
        </w:rPr>
        <w:t xml:space="preserve"> </w:t>
      </w:r>
      <w:proofErr w:type="spellStart"/>
      <w:r w:rsidRPr="00EA4D97">
        <w:rPr>
          <w:shd w:val="clear" w:color="auto" w:fill="FFFFFF"/>
        </w:rPr>
        <w:t>revisited</w:t>
      </w:r>
      <w:proofErr w:type="spellEnd"/>
      <w:r w:rsidRPr="00EA4D97">
        <w:rPr>
          <w:shd w:val="clear" w:color="auto" w:fill="FFFFFF"/>
        </w:rPr>
        <w:t>. </w:t>
      </w:r>
      <w:r w:rsidRPr="00EA4D97">
        <w:rPr>
          <w:i/>
          <w:iCs/>
          <w:shd w:val="clear" w:color="auto" w:fill="FFFFFF"/>
        </w:rPr>
        <w:t xml:space="preserve">Journal of Experimental </w:t>
      </w:r>
      <w:proofErr w:type="spellStart"/>
      <w:r w:rsidRPr="00EA4D97">
        <w:rPr>
          <w:i/>
          <w:iCs/>
          <w:shd w:val="clear" w:color="auto" w:fill="FFFFFF"/>
        </w:rPr>
        <w:t>Psychology</w:t>
      </w:r>
      <w:proofErr w:type="spellEnd"/>
      <w:r w:rsidRPr="00EA4D97">
        <w:rPr>
          <w:i/>
          <w:iCs/>
          <w:shd w:val="clear" w:color="auto" w:fill="FFFFFF"/>
        </w:rPr>
        <w:t xml:space="preserve">: </w:t>
      </w:r>
      <w:proofErr w:type="spellStart"/>
      <w:r w:rsidRPr="00EA4D97">
        <w:rPr>
          <w:i/>
          <w:iCs/>
          <w:shd w:val="clear" w:color="auto" w:fill="FFFFFF"/>
        </w:rPr>
        <w:t>Human</w:t>
      </w:r>
      <w:proofErr w:type="spellEnd"/>
      <w:r w:rsidRPr="00EA4D97">
        <w:rPr>
          <w:i/>
          <w:iCs/>
          <w:shd w:val="clear" w:color="auto" w:fill="FFFFFF"/>
        </w:rPr>
        <w:t xml:space="preserve"> </w:t>
      </w:r>
      <w:proofErr w:type="spellStart"/>
      <w:r w:rsidRPr="00EA4D97">
        <w:rPr>
          <w:i/>
          <w:iCs/>
          <w:shd w:val="clear" w:color="auto" w:fill="FFFFFF"/>
        </w:rPr>
        <w:t>Perception</w:t>
      </w:r>
      <w:proofErr w:type="spellEnd"/>
      <w:r w:rsidRPr="00EA4D97">
        <w:rPr>
          <w:i/>
          <w:iCs/>
          <w:shd w:val="clear" w:color="auto" w:fill="FFFFFF"/>
        </w:rPr>
        <w:t xml:space="preserve"> </w:t>
      </w:r>
      <w:proofErr w:type="spellStart"/>
      <w:r w:rsidRPr="00EA4D97">
        <w:rPr>
          <w:i/>
          <w:iCs/>
          <w:shd w:val="clear" w:color="auto" w:fill="FFFFFF"/>
        </w:rPr>
        <w:t>and</w:t>
      </w:r>
      <w:proofErr w:type="spellEnd"/>
      <w:r w:rsidRPr="00EA4D97">
        <w:rPr>
          <w:i/>
          <w:iCs/>
          <w:shd w:val="clear" w:color="auto" w:fill="FFFFFF"/>
        </w:rPr>
        <w:t xml:space="preserve"> Performance</w:t>
      </w:r>
      <w:r w:rsidRPr="00EA4D97">
        <w:rPr>
          <w:shd w:val="clear" w:color="auto" w:fill="FFFFFF"/>
        </w:rPr>
        <w:t>, </w:t>
      </w:r>
      <w:r w:rsidRPr="00EA4D97">
        <w:rPr>
          <w:i/>
          <w:iCs/>
          <w:shd w:val="clear" w:color="auto" w:fill="FFFFFF"/>
        </w:rPr>
        <w:t>32</w:t>
      </w:r>
      <w:r w:rsidRPr="00EA4D97">
        <w:rPr>
          <w:shd w:val="clear" w:color="auto" w:fill="FFFFFF"/>
        </w:rPr>
        <w:t>(3), 717</w:t>
      </w:r>
      <w:r w:rsidRPr="00EA4D97">
        <w:rPr>
          <w:shd w:val="clear" w:color="auto" w:fill="FFFFFF"/>
        </w:rPr>
        <w:t>-732</w:t>
      </w:r>
      <w:r w:rsidRPr="00EA4D97">
        <w:rPr>
          <w:shd w:val="clear" w:color="auto" w:fill="FFFFFF"/>
        </w:rPr>
        <w:t>.</w:t>
      </w:r>
      <w:r w:rsidRPr="00EA4D97">
        <w:rPr>
          <w:shd w:val="clear" w:color="auto" w:fill="FFFFFF"/>
        </w:rPr>
        <w:t xml:space="preserve"> doi: </w:t>
      </w:r>
      <w:hyperlink r:id="rId8" w:history="1">
        <w:r w:rsidRPr="00EA4D97">
          <w:rPr>
            <w:rStyle w:val="Hyperlink"/>
            <w:shd w:val="clear" w:color="auto" w:fill="FFFFFF"/>
          </w:rPr>
          <w:t>10.1037/0096-1523.32.3.717</w:t>
        </w:r>
      </w:hyperlink>
    </w:p>
    <w:p w:rsidR="00F05F15" w:rsidRDefault="004645DD" w:rsidP="004645DD">
      <w:pPr>
        <w:rPr>
          <w:lang w:val="en-US"/>
        </w:rPr>
      </w:pPr>
      <w:r w:rsidRPr="004645DD">
        <w:rPr>
          <w:lang w:val="en-US"/>
        </w:rPr>
        <w:t>Experience the illusion yourself and perform it on others. What does the illusion tell</w:t>
      </w:r>
      <w:r>
        <w:rPr>
          <w:lang w:val="en-US"/>
        </w:rPr>
        <w:t xml:space="preserve"> </w:t>
      </w:r>
      <w:r w:rsidRPr="004645DD">
        <w:rPr>
          <w:lang w:val="en-US"/>
        </w:rPr>
        <w:t>us about how the somatosensory system functions?</w:t>
      </w:r>
      <w:r w:rsidR="00EA4D97">
        <w:rPr>
          <w:lang w:val="en-US"/>
        </w:rPr>
        <w:t xml:space="preserve"> </w:t>
      </w:r>
    </w:p>
    <w:p w:rsidR="00EA4D97" w:rsidRPr="00BA62CB" w:rsidRDefault="00EA4D97" w:rsidP="00EA4D97">
      <w:pPr>
        <w:rPr>
          <w:lang w:val="en-US"/>
        </w:rPr>
      </w:pPr>
      <w:r w:rsidRPr="00BA62CB">
        <w:rPr>
          <w:lang w:val="en-US"/>
        </w:rPr>
        <w:t>______________</w:t>
      </w:r>
    </w:p>
    <w:p w:rsidR="00EA4D97" w:rsidRDefault="00EA4D97" w:rsidP="004645DD">
      <w:pPr>
        <w:rPr>
          <w:lang w:val="en-US"/>
        </w:rPr>
      </w:pPr>
      <w:r w:rsidRPr="00BA62CB">
        <w:rPr>
          <w:lang w:val="en-US"/>
        </w:rPr>
        <w:t>______________</w:t>
      </w:r>
    </w:p>
    <w:p w:rsidR="00EA4D97" w:rsidRDefault="00EA4D97" w:rsidP="00EA4D97">
      <w:pPr>
        <w:rPr>
          <w:lang w:val="en-US"/>
        </w:rPr>
      </w:pPr>
      <w:r w:rsidRPr="00BA62CB">
        <w:rPr>
          <w:lang w:val="en-US"/>
        </w:rPr>
        <w:t>______________</w:t>
      </w:r>
    </w:p>
    <w:p w:rsidR="00F05F15" w:rsidRDefault="00F05F15">
      <w:pPr>
        <w:rPr>
          <w:lang w:val="en-US"/>
        </w:rPr>
      </w:pPr>
    </w:p>
    <w:p w:rsidR="006169A3" w:rsidRDefault="00F05F15" w:rsidP="006169A3">
      <w:pPr>
        <w:rPr>
          <w:b/>
          <w:sz w:val="32"/>
          <w:lang w:val="en-US"/>
        </w:rPr>
      </w:pPr>
      <w:r w:rsidRPr="006169A3">
        <w:rPr>
          <w:b/>
          <w:sz w:val="32"/>
          <w:lang w:val="en-US"/>
        </w:rPr>
        <w:t xml:space="preserve">Optional Task: Map </w:t>
      </w:r>
      <w:r w:rsidR="006169A3" w:rsidRPr="006169A3">
        <w:rPr>
          <w:b/>
          <w:sz w:val="32"/>
          <w:lang w:val="en-US"/>
        </w:rPr>
        <w:t>your own</w:t>
      </w:r>
      <w:r w:rsidR="006169A3" w:rsidRPr="006169A3">
        <w:rPr>
          <w:b/>
          <w:sz w:val="32"/>
          <w:lang w:val="en-US"/>
        </w:rPr>
        <w:t xml:space="preserve"> </w:t>
      </w:r>
      <w:r w:rsidR="006169A3" w:rsidRPr="006169A3">
        <w:rPr>
          <w:b/>
          <w:sz w:val="32"/>
          <w:lang w:val="en-US"/>
        </w:rPr>
        <w:t>homunculus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2915"/>
        <w:gridCol w:w="3625"/>
      </w:tblGrid>
      <w:tr w:rsidR="006169A3" w:rsidTr="006169A3">
        <w:tc>
          <w:tcPr>
            <w:tcW w:w="2942" w:type="dxa"/>
          </w:tcPr>
          <w:p w:rsidR="006169A3" w:rsidRDefault="006169A3" w:rsidP="006169A3">
            <w:pPr>
              <w:rPr>
                <w:lang w:val="en-US"/>
              </w:rPr>
            </w:pPr>
            <w:r>
              <w:rPr>
                <w:lang w:val="en-US"/>
              </w:rPr>
              <w:t>Materials</w:t>
            </w:r>
          </w:p>
          <w:p w:rsidR="006169A3" w:rsidRDefault="006169A3" w:rsidP="006169A3">
            <w:pPr>
              <w:rPr>
                <w:lang w:val="en-US"/>
              </w:rPr>
            </w:pPr>
            <w:r w:rsidRPr="006169A3">
              <w:rPr>
                <w:lang w:val="en-US"/>
              </w:rPr>
              <w:drawing>
                <wp:inline distT="0" distB="0" distL="0" distR="0" wp14:anchorId="110B2770" wp14:editId="73F4A25D">
                  <wp:extent cx="1790700" cy="116138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916" cy="116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69A3" w:rsidRDefault="006169A3" w:rsidP="006169A3">
            <w:pPr>
              <w:rPr>
                <w:lang w:val="en-US"/>
              </w:rPr>
            </w:pPr>
            <w:r w:rsidRPr="006169A3">
              <w:rPr>
                <w:lang w:val="en-US"/>
              </w:rPr>
              <w:drawing>
                <wp:inline distT="0" distB="0" distL="0" distR="0" wp14:anchorId="47879990" wp14:editId="45EBA098">
                  <wp:extent cx="1760220" cy="148682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058" cy="149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</w:tcPr>
          <w:p w:rsidR="006169A3" w:rsidRDefault="006169A3" w:rsidP="006169A3">
            <w:pPr>
              <w:rPr>
                <w:lang w:val="en-US"/>
              </w:rPr>
            </w:pPr>
            <w:r>
              <w:rPr>
                <w:lang w:val="en-US"/>
              </w:rPr>
              <w:t>Take measurements</w:t>
            </w:r>
          </w:p>
          <w:p w:rsidR="006169A3" w:rsidRDefault="006169A3" w:rsidP="006169A3">
            <w:pPr>
              <w:rPr>
                <w:lang w:val="en-US"/>
              </w:rPr>
            </w:pPr>
            <w:r w:rsidRPr="006169A3">
              <w:rPr>
                <w:lang w:val="en-US"/>
              </w:rPr>
              <w:drawing>
                <wp:inline distT="0" distB="0" distL="0" distR="0" wp14:anchorId="17373506" wp14:editId="3BF9F3FB">
                  <wp:extent cx="1309376" cy="1303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603" cy="131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69A3" w:rsidRDefault="006169A3" w:rsidP="006169A3">
            <w:pPr>
              <w:rPr>
                <w:lang w:val="en-US"/>
              </w:rPr>
            </w:pPr>
            <w:r w:rsidRPr="006169A3">
              <w:rPr>
                <w:lang w:val="en-US"/>
              </w:rPr>
              <w:drawing>
                <wp:inline distT="0" distB="0" distL="0" distR="0" wp14:anchorId="45E692A4" wp14:editId="3D7496FD">
                  <wp:extent cx="1319475" cy="13258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1" cy="134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2" w:type="dxa"/>
          </w:tcPr>
          <w:p w:rsidR="006169A3" w:rsidRDefault="00DB3D3B" w:rsidP="006169A3">
            <w:pPr>
              <w:rPr>
                <w:lang w:val="en-US"/>
              </w:rPr>
            </w:pPr>
            <w:r>
              <w:rPr>
                <w:lang w:val="en-US"/>
              </w:rPr>
              <w:t>Inspect results</w:t>
            </w:r>
          </w:p>
          <w:p w:rsidR="006169A3" w:rsidRDefault="006169A3" w:rsidP="006169A3">
            <w:pPr>
              <w:rPr>
                <w:lang w:val="en-US"/>
              </w:rPr>
            </w:pPr>
            <w:r w:rsidRPr="006169A3">
              <w:rPr>
                <w:lang w:val="en-US"/>
              </w:rPr>
              <w:drawing>
                <wp:inline distT="0" distB="0" distL="0" distR="0" wp14:anchorId="281BA57E" wp14:editId="47A8A472">
                  <wp:extent cx="1181100" cy="27851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066" cy="279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9A3" w:rsidRDefault="006169A3" w:rsidP="006169A3">
      <w:pPr>
        <w:rPr>
          <w:lang w:val="en-US"/>
        </w:rPr>
      </w:pPr>
    </w:p>
    <w:p w:rsidR="006169A3" w:rsidRDefault="00C25656" w:rsidP="006169A3">
      <w:pPr>
        <w:rPr>
          <w:lang w:val="en-US"/>
        </w:rPr>
      </w:pPr>
      <w:r>
        <w:rPr>
          <w:lang w:val="en-US"/>
        </w:rPr>
        <w:t xml:space="preserve">Access: </w:t>
      </w:r>
      <w:hyperlink r:id="rId14" w:history="1">
        <w:r w:rsidRPr="007C1F17">
          <w:rPr>
            <w:rStyle w:val="Hyperlink"/>
            <w:lang w:val="en-US"/>
          </w:rPr>
          <w:t>https://brainmapper.org/</w:t>
        </w:r>
      </w:hyperlink>
    </w:p>
    <w:p w:rsidR="00EA4D97" w:rsidRDefault="00C25656">
      <w:pPr>
        <w:rPr>
          <w:b/>
          <w:sz w:val="32"/>
          <w:lang w:val="en-US"/>
        </w:rPr>
      </w:pPr>
      <w:r w:rsidRPr="00C25656">
        <w:rPr>
          <w:lang w:val="en-US"/>
        </w:rPr>
        <w:t>Follow the instruction</w:t>
      </w:r>
      <w:r>
        <w:rPr>
          <w:lang w:val="en-US"/>
        </w:rPr>
        <w:t>s</w:t>
      </w:r>
      <w:r w:rsidRPr="00C25656">
        <w:rPr>
          <w:lang w:val="en-US"/>
        </w:rPr>
        <w:t xml:space="preserve"> to (1) prepare the materials, (2) take measurements, and (3) input the data and inspect results.</w:t>
      </w:r>
      <w:r>
        <w:rPr>
          <w:b/>
          <w:sz w:val="32"/>
          <w:lang w:val="en-US"/>
        </w:rPr>
        <w:t xml:space="preserve"> </w:t>
      </w:r>
      <w:r w:rsidR="00EA4D97">
        <w:rPr>
          <w:b/>
          <w:sz w:val="32"/>
          <w:lang w:val="en-US"/>
        </w:rPr>
        <w:br w:type="page"/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3</w:t>
      </w:r>
      <w:r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Draw me a Brain Ep. </w:t>
      </w:r>
      <w:r w:rsidR="002C75F9">
        <w:rPr>
          <w:b/>
          <w:sz w:val="32"/>
          <w:lang w:val="en-US"/>
        </w:rPr>
        <w:t>8</w:t>
      </w:r>
    </w:p>
    <w:p w:rsidR="0008691D" w:rsidRPr="007D56EA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lang w:val="en-US"/>
        </w:rPr>
      </w:pPr>
    </w:p>
    <w:p w:rsidR="0008691D" w:rsidRPr="00AF4E95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Draw this (</w:t>
      </w:r>
      <w:hyperlink r:id="rId15" w:history="1">
        <w:r w:rsidRPr="009463A4">
          <w:rPr>
            <w:rStyle w:val="Hyperlink"/>
            <w:sz w:val="32"/>
            <w:lang w:val="en-US"/>
          </w:rPr>
          <w:t>link to editable drawing here</w:t>
        </w:r>
      </w:hyperlink>
      <w:r>
        <w:rPr>
          <w:sz w:val="32"/>
          <w:lang w:val="en-US"/>
        </w:rPr>
        <w:t>):</w:t>
      </w:r>
    </w:p>
    <w:tbl>
      <w:tblPr>
        <w:tblStyle w:val="TableGrid"/>
        <w:tblW w:w="0" w:type="dxa"/>
        <w:jc w:val="center"/>
        <w:tblLook w:val="04A0" w:firstRow="1" w:lastRow="0" w:firstColumn="1" w:lastColumn="0" w:noHBand="0" w:noVBand="1"/>
      </w:tblPr>
      <w:tblGrid>
        <w:gridCol w:w="9576"/>
      </w:tblGrid>
      <w:tr w:rsidR="0008691D" w:rsidTr="00084419">
        <w:trPr>
          <w:jc w:val="center"/>
        </w:trPr>
        <w:tc>
          <w:tcPr>
            <w:tcW w:w="5000" w:type="pct"/>
          </w:tcPr>
          <w:p w:rsidR="00A625A3" w:rsidRPr="00FD20C9" w:rsidRDefault="007D56EA" w:rsidP="00F34BDF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6965304" cy="3647505"/>
                  <wp:effectExtent l="0" t="1657350" r="0" b="16484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965304" cy="364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48CF" w:rsidRDefault="004B48CF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4B48CF" w:rsidRDefault="004B48CF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lastRenderedPageBreak/>
        <w:t>Your turn</w:t>
      </w:r>
      <w:r w:rsidRPr="00AF4E95">
        <w:rPr>
          <w:sz w:val="32"/>
          <w:lang w:val="en-US"/>
        </w:rPr>
        <w:t>:</w:t>
      </w:r>
    </w:p>
    <w:p w:rsidR="00985150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985150" w:rsidRPr="00AF4E95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:rsidTr="00904382">
        <w:tc>
          <w:tcPr>
            <w:tcW w:w="9576" w:type="dxa"/>
          </w:tcPr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Default="0008691D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Pr="00A41683" w:rsidRDefault="00406051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</w:tc>
      </w:tr>
    </w:tbl>
    <w:p w:rsidR="00C302C2" w:rsidRPr="00C302C2" w:rsidRDefault="00C302C2" w:rsidP="00D11A75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25ABE"/>
    <w:multiLevelType w:val="hybridMultilevel"/>
    <w:tmpl w:val="0590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C2"/>
    <w:rsid w:val="000118EF"/>
    <w:rsid w:val="00015826"/>
    <w:rsid w:val="000247CF"/>
    <w:rsid w:val="000618A8"/>
    <w:rsid w:val="00084419"/>
    <w:rsid w:val="0008614B"/>
    <w:rsid w:val="0008691D"/>
    <w:rsid w:val="000A2636"/>
    <w:rsid w:val="000B1FB0"/>
    <w:rsid w:val="00102062"/>
    <w:rsid w:val="00134A49"/>
    <w:rsid w:val="00147C75"/>
    <w:rsid w:val="001C5E84"/>
    <w:rsid w:val="001E2D25"/>
    <w:rsid w:val="001E309D"/>
    <w:rsid w:val="001F09D1"/>
    <w:rsid w:val="002021D6"/>
    <w:rsid w:val="00202AB5"/>
    <w:rsid w:val="002032D4"/>
    <w:rsid w:val="002314E0"/>
    <w:rsid w:val="002325AB"/>
    <w:rsid w:val="0024159C"/>
    <w:rsid w:val="00264D65"/>
    <w:rsid w:val="00283F06"/>
    <w:rsid w:val="00294F2A"/>
    <w:rsid w:val="002A06E5"/>
    <w:rsid w:val="002A6B30"/>
    <w:rsid w:val="002C75F9"/>
    <w:rsid w:val="003062C9"/>
    <w:rsid w:val="0038704D"/>
    <w:rsid w:val="003A5D48"/>
    <w:rsid w:val="003B5332"/>
    <w:rsid w:val="003C6389"/>
    <w:rsid w:val="003D059F"/>
    <w:rsid w:val="00406051"/>
    <w:rsid w:val="00430F18"/>
    <w:rsid w:val="00447AB6"/>
    <w:rsid w:val="004563E3"/>
    <w:rsid w:val="004645DD"/>
    <w:rsid w:val="00472F3A"/>
    <w:rsid w:val="004B48CF"/>
    <w:rsid w:val="004D0E6B"/>
    <w:rsid w:val="004E12BF"/>
    <w:rsid w:val="005449D6"/>
    <w:rsid w:val="00561481"/>
    <w:rsid w:val="005766A7"/>
    <w:rsid w:val="005A5CAA"/>
    <w:rsid w:val="005B2438"/>
    <w:rsid w:val="005E0CDE"/>
    <w:rsid w:val="00602B71"/>
    <w:rsid w:val="006169A3"/>
    <w:rsid w:val="00623CF1"/>
    <w:rsid w:val="00626D24"/>
    <w:rsid w:val="006C0B02"/>
    <w:rsid w:val="006C14C1"/>
    <w:rsid w:val="006F40D2"/>
    <w:rsid w:val="00711B81"/>
    <w:rsid w:val="00713A0E"/>
    <w:rsid w:val="00715498"/>
    <w:rsid w:val="0072205D"/>
    <w:rsid w:val="007D56EA"/>
    <w:rsid w:val="007D5FBF"/>
    <w:rsid w:val="007E2C57"/>
    <w:rsid w:val="007F4449"/>
    <w:rsid w:val="007F7EEE"/>
    <w:rsid w:val="00842F52"/>
    <w:rsid w:val="00845D10"/>
    <w:rsid w:val="009005A0"/>
    <w:rsid w:val="00902D20"/>
    <w:rsid w:val="0090785B"/>
    <w:rsid w:val="00914D1A"/>
    <w:rsid w:val="00924738"/>
    <w:rsid w:val="00934A3D"/>
    <w:rsid w:val="00943237"/>
    <w:rsid w:val="009445EA"/>
    <w:rsid w:val="00962313"/>
    <w:rsid w:val="009728A8"/>
    <w:rsid w:val="00985150"/>
    <w:rsid w:val="009C1332"/>
    <w:rsid w:val="00A25EED"/>
    <w:rsid w:val="00A26489"/>
    <w:rsid w:val="00A41683"/>
    <w:rsid w:val="00A55E32"/>
    <w:rsid w:val="00A625A3"/>
    <w:rsid w:val="00A62F65"/>
    <w:rsid w:val="00AA53C3"/>
    <w:rsid w:val="00AC3933"/>
    <w:rsid w:val="00AD52BB"/>
    <w:rsid w:val="00AE7669"/>
    <w:rsid w:val="00B22FCA"/>
    <w:rsid w:val="00B52F33"/>
    <w:rsid w:val="00BA1B7D"/>
    <w:rsid w:val="00BA254C"/>
    <w:rsid w:val="00BA62CB"/>
    <w:rsid w:val="00BA65E2"/>
    <w:rsid w:val="00BB406D"/>
    <w:rsid w:val="00BE5B5B"/>
    <w:rsid w:val="00C17335"/>
    <w:rsid w:val="00C25656"/>
    <w:rsid w:val="00C302C2"/>
    <w:rsid w:val="00C4432C"/>
    <w:rsid w:val="00C45251"/>
    <w:rsid w:val="00C53170"/>
    <w:rsid w:val="00C71F84"/>
    <w:rsid w:val="00C938C5"/>
    <w:rsid w:val="00CD1EFE"/>
    <w:rsid w:val="00D11A75"/>
    <w:rsid w:val="00D56C02"/>
    <w:rsid w:val="00D6095A"/>
    <w:rsid w:val="00DB2787"/>
    <w:rsid w:val="00DB3D3B"/>
    <w:rsid w:val="00DB526F"/>
    <w:rsid w:val="00E05AB1"/>
    <w:rsid w:val="00E07CC1"/>
    <w:rsid w:val="00E14F0C"/>
    <w:rsid w:val="00E150E0"/>
    <w:rsid w:val="00E436FD"/>
    <w:rsid w:val="00EA4D97"/>
    <w:rsid w:val="00EB28CB"/>
    <w:rsid w:val="00EE1491"/>
    <w:rsid w:val="00F05F15"/>
    <w:rsid w:val="00F227FC"/>
    <w:rsid w:val="00F34BDF"/>
    <w:rsid w:val="00F85847"/>
    <w:rsid w:val="00F91EAC"/>
    <w:rsid w:val="00F963A6"/>
    <w:rsid w:val="00FB641E"/>
    <w:rsid w:val="00FC50FB"/>
    <w:rsid w:val="00FD20C9"/>
    <w:rsid w:val="00FE225E"/>
    <w:rsid w:val="00FE47FB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7CBC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9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6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32D4"/>
    <w:pPr>
      <w:spacing w:before="100" w:beforeAutospacing="1" w:after="100" w:afterAutospacing="1" w:line="240" w:lineRule="auto"/>
      <w:jc w:val="left"/>
    </w:pPr>
    <w:rPr>
      <w:rFonts w:eastAsia="Times New Roman"/>
      <w:lang w:eastAsia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616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0096-1523.32.3.717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126/science.178.4057.178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laudiuPapasteri/DrawMeABrain/tree/main/DMAB-08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rainmapp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26A4-D5DA-43D1-9331-F41FBFBA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Claudiu Papasteri</cp:lastModifiedBy>
  <cp:revision>101</cp:revision>
  <dcterms:created xsi:type="dcterms:W3CDTF">2023-07-30T20:34:00Z</dcterms:created>
  <dcterms:modified xsi:type="dcterms:W3CDTF">2023-12-26T09:56:00Z</dcterms:modified>
</cp:coreProperties>
</file>