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Cotiza+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>01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/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/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 xml:space="preserve">18 de octubre de 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Ficha del documento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2</w:t>
          </w:r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Integrantes: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2</w:t>
          </w:r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Diseño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3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Diagrama de Casos de Uso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3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Vista Lógica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4.2.1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Modelo E-R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4.2.2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Diagrama de Clases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4.2.3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Diagrama de Secuencia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Vista Despliegue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10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4.3.1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Diagrama de Componentes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10</w:t>
          </w:r>
        </w:p>
        <w:p w14:paraId="29BB4EBE" w14:textId="3BE0AC6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30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18/10/2026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Claudio Cornejo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Versión inicial de los diagramas UML. El modelo E-R y las clases del backend son una propuesta a validar con la implementación.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sz w:val="20"/>
        </w:rPr>
        <w:t>pendiente; se valida con el equipo y el docente en la revisión del Sprint 1 (S9).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31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Claudio Cornejo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Product Owner y Scrum Master. Developer: frontend, pruebas y documentación.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Ignacio Gonzalez</w:t>
            </w: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Developer: backend, integración con Google Drive, extracción de PDF, base de datos y API REST.</w:t>
            </w:r>
          </w:p>
        </w:tc>
      </w:tr>
    </w:tbl>
    <w:p>
      <w:pPr>
        <w:pStyle w:val="Ttulo1"/>
        <w:pageBreakBefore/>
      </w:pPr>
      <w:r>
        <w:t>Diseño</w:t>
      </w:r>
    </w:p>
    <w:p>
      <w:pPr/>
      <w:r>
        <w:rPr>
          <w:b w:val="0"/>
        </w:rPr>
        <w:t>Los diagramas se mantienen como código PlantUML en SRC/docs/diseno, junto a sus imágenes, para que se actualicen en el mismo pull request que cambia el diseño. El modelo entidad-relación y el diagrama de clases del backend se derivan del contrato de API y de la arquitectura acordada; se ajustarán al modelo que implemente el backend en el Sprint 1.</w:t>
      </w:r>
    </w:p>
    <w:p>
      <w:pPr>
        <w:pStyle w:val="Ttulo2"/>
      </w:pPr>
      <w:r>
        <w:t>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5044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-consul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044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Casos de uso de la Épica 002: consulta y visualización segura.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-inges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Casos de uso de la Épica 001: ingesta y extracción automática.</w:t>
      </w:r>
    </w:p>
    <w:p>
      <w:pPr>
        <w:pStyle w:val="Prrafodelista"/>
        <w:numPr>
          <w:ilvl w:val="0"/>
          <w:numId w:val="14"/>
        </w:numPr>
        <w:spacing w:after="40"/>
      </w:pPr>
      <w:r>
        <w:rPr>
          <w:b/>
        </w:rPr>
        <w:t>Usuario (comercial o administración):</w:t>
      </w:r>
      <w:r>
        <w:rPr>
          <w:b w:val="0"/>
        </w:rPr>
        <w:t xml:space="preserve"> consulta cotizaciones y métricas. Toda consulta requiere haber iniciado sesión.</w:t>
      </w:r>
    </w:p>
    <w:p>
      <w:pPr>
        <w:pStyle w:val="Prrafodelista"/>
        <w:numPr>
          <w:ilvl w:val="0"/>
          <w:numId w:val="14"/>
        </w:numPr>
        <w:spacing w:after="40"/>
      </w:pPr>
      <w:r>
        <w:rPr>
          <w:b/>
        </w:rPr>
        <w:t>Planificador:</w:t>
      </w:r>
      <w:r>
        <w:rPr>
          <w:b w:val="0"/>
        </w:rPr>
        <w:t xml:space="preserve"> dispara periódicamente la detección de cotizaciones nuevas; no requiere intervención de una persona.</w:t>
      </w:r>
    </w:p>
    <w:p>
      <w:pPr>
        <w:pStyle w:val="Prrafodelista"/>
        <w:numPr>
          <w:ilvl w:val="0"/>
          <w:numId w:val="14"/>
        </w:numPr>
        <w:spacing w:after="40"/>
      </w:pPr>
      <w:r>
        <w:rPr>
          <w:b/>
        </w:rPr>
        <w:t>Encargado de documentos:</w:t>
      </w:r>
      <w:r>
        <w:rPr>
          <w:b w:val="0"/>
        </w:rPr>
        <w:t xml:space="preserve"> no usa Cotiza+ directamente; sube los PDF a Google Drive como lo hace hoy.</w:t>
      </w:r>
    </w:p>
    <w:p>
      <w:pPr>
        <w:pStyle w:val="Prrafodelista"/>
        <w:numPr>
          <w:ilvl w:val="0"/>
          <w:numId w:val="14"/>
        </w:numPr>
        <w:spacing w:after="40"/>
      </w:pPr>
      <w:r>
        <w:rPr>
          <w:b/>
        </w:rPr>
        <w:t>Google Drive y servicio de IA:</w:t>
      </w:r>
      <w:r>
        <w:rPr>
          <w:b w:val="0"/>
        </w:rPr>
        <w:t xml:space="preserve"> sistemas externos. La IA solo participa cuando las reglas no logran extraer los campos obligatorios.</w:t>
      </w:r>
    </w:p>
    <w:p>
      <w:pPr>
        <w:pStyle w:val="Ttulo2"/>
      </w:pPr>
      <w:r>
        <w:t>Vista Lógica</w:t>
      </w:r>
    </w:p>
    <w:p>
      <w:pPr>
        <w:pStyle w:val="Ttulo3"/>
      </w:pPr>
      <w:r>
        <w:t>Modelo E-R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814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1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Modelo entidad-relación propuesto para PostgreSQL.</w:t>
      </w:r>
    </w:p>
    <w:p>
      <w:pPr>
        <w:pStyle w:val="Prrafodelista"/>
        <w:numPr>
          <w:ilvl w:val="0"/>
          <w:numId w:val="14"/>
        </w:numPr>
        <w:spacing w:after="40"/>
      </w:pPr>
      <w:r>
        <w:rPr>
          <w:b/>
        </w:rPr>
        <w:t>documento</w:t>
      </w:r>
      <w:r>
        <w:rPr>
          <w:b w:val="0"/>
        </w:rPr>
        <w:t xml:space="preserve"> registra cada PDF leído desde Drive, incluso si no se pudo extraer: así los errores y duplicados quedan trazados sin crear cotizaciones falsas.</w:t>
      </w:r>
    </w:p>
    <w:p>
      <w:pPr>
        <w:pStyle w:val="Prrafodelista"/>
        <w:numPr>
          <w:ilvl w:val="0"/>
          <w:numId w:val="14"/>
        </w:numPr>
        <w:spacing w:after="40"/>
      </w:pPr>
      <w:r>
        <w:rPr>
          <w:b/>
        </w:rPr>
        <w:t>cotizacion</w:t>
      </w:r>
      <w:r>
        <w:rPr>
          <w:b w:val="0"/>
        </w:rPr>
        <w:t xml:space="preserve"> tiene número único; un PDF subido de nuevo no genera un segundo registro (HU-04).</w:t>
      </w:r>
    </w:p>
    <w:p>
      <w:pPr>
        <w:pStyle w:val="Prrafodelista"/>
        <w:numPr>
          <w:ilvl w:val="0"/>
          <w:numId w:val="14"/>
        </w:numPr>
        <w:spacing w:after="40"/>
      </w:pPr>
      <w:r>
        <w:rPr>
          <w:b w:val="0"/>
        </w:rPr>
        <w:t>Los montos se guardan como enteros en pesos chilenos, que es lo que expone la API.</w:t>
      </w:r>
    </w:p>
    <w:p>
      <w:pPr>
        <w:pStyle w:val="Prrafodelista"/>
        <w:numPr>
          <w:ilvl w:val="0"/>
          <w:numId w:val="14"/>
        </w:numPr>
        <w:spacing w:after="40"/>
      </w:pPr>
      <w:r>
        <w:rPr>
          <w:b/>
        </w:rPr>
        <w:t>cliente</w:t>
      </w:r>
      <w:r>
        <w:rPr>
          <w:b w:val="0"/>
        </w:rPr>
        <w:t xml:space="preserve"> usa el RUT como clave única cuando existe; algunas cotizaciones no informan RUT.</w:t>
      </w:r>
    </w:p>
    <w:p>
      <w:pPr>
        <w:pStyle w:val="Prrafodelista"/>
        <w:numPr>
          <w:ilvl w:val="0"/>
          <w:numId w:val="14"/>
        </w:numPr>
        <w:spacing w:after="40"/>
      </w:pPr>
      <w:r>
        <w:rPr>
          <w:b/>
        </w:rPr>
        <w:t>fecha</w:t>
      </w:r>
      <w:r>
        <w:rPr>
          <w:b w:val="0"/>
        </w:rPr>
        <w:t xml:space="preserve"> es la fecha de emisión impresa en el PDF: es la que usan los filtros por año y las métricas por período.</w:t>
      </w:r>
    </w:p>
    <w:p>
      <w:pPr>
        <w:pStyle w:val="Ttulo3"/>
      </w:pPr>
      <w:r>
        <w:t>Diagrama de Clases</w:t>
      </w:r>
    </w:p>
    <w:p>
      <w:pPr/>
      <w:r>
        <w:rPr>
          <w:b w:val="0"/>
        </w:rPr>
        <w:t>El backend se describe en dos diagramas: los modelos de datos, que corresponden a las tablas del modelo E-R, y las clases de ingesta y servicios que los usan.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47271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-model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72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Clases de los modelos de datos.</w:t>
      </w:r>
    </w:p>
    <w:p>
      <w:pPr>
        <w:sectPr>
          <w:headerReference w:type="default" r:id="rId12"/>
          <w:footerReference w:type="default" r:id="rId13"/>
          <w:headerReference w:type="first" r:id="rId14"/>
          <w:headerReference w:type="even" r:id="rId18"/>
          <w:footerReference w:type="first" r:id="rId19"/>
          <w:footerReference w:type="even" r:id="rId20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40000" cy="43373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-servici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40000" cy="433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Clases de ingesta y servicios del backend.</w:t>
      </w:r>
    </w:p>
    <w:p>
      <w:pPr/>
      <w:r>
        <w:rPr>
          <w:b w:val="0"/>
        </w:rPr>
        <w:t xml:space="preserve">La extracción se define con una interfaz </w:t>
      </w:r>
      <w:r>
        <w:rPr>
          <w:b/>
        </w:rPr>
        <w:t>Extractor</w:t>
      </w:r>
      <w:r>
        <w:rPr>
          <w:b w:val="0"/>
        </w:rPr>
        <w:t xml:space="preserve"> con dos implementaciones: </w:t>
      </w:r>
      <w:r>
        <w:rPr>
          <w:b/>
        </w:rPr>
        <w:t>ExtractorReglas</w:t>
      </w:r>
      <w:r>
        <w:rPr>
          <w:b w:val="0"/>
        </w:rPr>
        <w:t xml:space="preserve">, que se aplica siempre, y </w:t>
      </w:r>
      <w:r>
        <w:rPr>
          <w:b/>
        </w:rPr>
        <w:t>ExtractorIA</w:t>
      </w:r>
      <w:r>
        <w:rPr>
          <w:b w:val="0"/>
        </w:rPr>
        <w:t xml:space="preserve">, que solo se usa si faltan campos obligatorios (HU-03). </w:t>
      </w:r>
      <w:r>
        <w:rPr>
          <w:b/>
        </w:rPr>
        <w:t>ProcesadorDocumentos</w:t>
      </w:r>
      <w:r>
        <w:rPr>
          <w:b w:val="0"/>
        </w:rPr>
        <w:t xml:space="preserve"> coordina el flujo y decide si el documento queda procesado, duplicado o con error.</w:t>
      </w:r>
    </w:p>
    <w:p>
      <w:pPr>
        <w:sectPr>
          <w:pgSz w:w="15840" w:h="12240" w:orient="landscape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pStyle w:val="Ttulo3"/>
      </w:pPr>
      <w:r>
        <w:t>Diagrama de Secuencia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20000" cy="47251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-inges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725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Ingesta de una cotización nueva desde Google Drive (HU-01 a HU-04).</w:t>
      </w:r>
    </w:p>
    <w:p>
      <w:pPr>
        <w:sectPr>
          <w:pgSz w:w="15840" w:h="12240" w:orient="landscape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0389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-consult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3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Inicio de sesión y consulta filtrada por año (HU-05, HU-07 y HU-08).</w:t>
      </w:r>
    </w:p>
    <w:p>
      <w:pPr>
        <w:pStyle w:val="Ttulo2"/>
      </w:pPr>
      <w:r>
        <w:t>Vista Despliegue</w:t>
      </w:r>
    </w:p>
    <w:p>
      <w:pPr>
        <w:pStyle w:val="Ttulo3"/>
      </w:pPr>
      <w:r>
        <w:t>Diagrama de Componentes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9785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78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Componentes de Cotiza+ y dónde se ejecutan.</w:t>
      </w:r>
    </w:p>
    <w:tbl>
      <w:tblPr>
        <w:tblStyle w:val="Tablaconcuadrcula1"/>
        <w:tblW w:w="8788" w:type="dxa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41"/>
        <w:gridCol w:w="3515"/>
        <w:gridCol w:w="1531"/>
      </w:tblGrid>
      <w:tr>
        <w:trPr>
          <w:tblHeader w:val="true"/>
        </w:trPr>
        <w:tc>
          <w:tcPr>
            <w:tcW w:type="dxa" w:w="1701"/>
            <w:shd w:val="clear" w:color="auto" w:fill="D9E2F3"/>
          </w:tcPr>
          <w:p>
            <w:r>
              <w:rPr>
                <w:rFonts w:asciiTheme="minorHAnsi" w:hAnsiTheme="minorHAnsi" w:cstheme="minorHAnsi"/>
                <w:b/>
                <w:color w:val="000000"/>
                <w:sz w:val="18"/>
              </w:rPr>
              <w:t>Componente</w:t>
            </w:r>
          </w:p>
        </w:tc>
        <w:tc>
          <w:tcPr>
            <w:tcW w:type="dxa" w:w="2041"/>
            <w:shd w:val="clear" w:color="auto" w:fill="D9E2F3"/>
          </w:tcPr>
          <w:p>
            <w:r>
              <w:rPr>
                <w:rFonts w:asciiTheme="minorHAnsi" w:hAnsiTheme="minorHAnsi" w:cstheme="minorHAnsi"/>
                <w:b/>
                <w:color w:val="000000"/>
                <w:sz w:val="18"/>
              </w:rPr>
              <w:t>Tecnología</w:t>
            </w:r>
          </w:p>
        </w:tc>
        <w:tc>
          <w:tcPr>
            <w:tcW w:type="dxa" w:w="3515"/>
            <w:shd w:val="clear" w:color="auto" w:fill="D9E2F3"/>
          </w:tcPr>
          <w:p>
            <w:r>
              <w:rPr>
                <w:rFonts w:asciiTheme="minorHAnsi" w:hAnsiTheme="minorHAnsi" w:cstheme="minorHAnsi"/>
                <w:b/>
                <w:color w:val="000000"/>
                <w:sz w:val="18"/>
              </w:rPr>
              <w:t>Responsabilidad</w:t>
            </w:r>
          </w:p>
        </w:tc>
        <w:tc>
          <w:tcPr>
            <w:tcW w:type="dxa" w:w="1531"/>
            <w:shd w:val="clear" w:color="auto" w:fill="D9E2F3"/>
          </w:tcPr>
          <w:p>
            <w:r>
              <w:rPr>
                <w:rFonts w:asciiTheme="minorHAnsi" w:hAnsiTheme="minorHAnsi" w:cstheme="minorHAnsi"/>
                <w:b/>
                <w:color w:val="000000"/>
                <w:sz w:val="18"/>
              </w:rPr>
              <w:t>Responsable</w:t>
            </w:r>
          </w:p>
        </w:tc>
      </w:tr>
      <w:tr>
        <w:tc>
          <w:tcPr>
            <w:tcW w:type="dxa" w:w="170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Aplicación web</w:t>
            </w:r>
          </w:p>
        </w:tc>
        <w:tc>
          <w:tcPr>
            <w:tcW w:type="dxa" w:w="204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React, TypeScript, Vite, Tailwind CSS</w:t>
            </w:r>
          </w:p>
        </w:tc>
        <w:tc>
          <w:tcPr>
            <w:tcW w:type="dxa" w:w="3515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Inicio de sesión, búsqueda, filtros, detalle y métricas.</w:t>
            </w:r>
          </w:p>
        </w:tc>
        <w:tc>
          <w:tcPr>
            <w:tcW w:type="dxa" w:w="153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Claudio Cornejo</w:t>
            </w:r>
          </w:p>
        </w:tc>
      </w:tr>
      <w:tr>
        <w:tc>
          <w:tcPr>
            <w:tcW w:type="dxa" w:w="170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API REST</w:t>
            </w:r>
          </w:p>
        </w:tc>
        <w:tc>
          <w:tcPr>
            <w:tcW w:type="dxa" w:w="204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Python, FastAPI</w:t>
            </w:r>
          </w:p>
        </w:tc>
        <w:tc>
          <w:tcPr>
            <w:tcW w:type="dxa" w:w="3515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Autenticación JWT, consultas y métricas sobre PostgreSQL.</w:t>
            </w:r>
          </w:p>
        </w:tc>
        <w:tc>
          <w:tcPr>
            <w:tcW w:type="dxa" w:w="153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Ignacio Gonzalez</w:t>
            </w:r>
          </w:p>
        </w:tc>
      </w:tr>
      <w:tr>
        <w:tc>
          <w:tcPr>
            <w:tcW w:type="dxa" w:w="170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Proceso de ingesta</w:t>
            </w:r>
          </w:p>
        </w:tc>
        <w:tc>
          <w:tcPr>
            <w:tcW w:type="dxa" w:w="204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3515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Detección en Drive, extracción, normalización y almacenamiento.</w:t>
            </w:r>
          </w:p>
        </w:tc>
        <w:tc>
          <w:tcPr>
            <w:tcW w:type="dxa" w:w="153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Ignacio Gonzalez</w:t>
            </w:r>
          </w:p>
        </w:tc>
      </w:tr>
      <w:tr>
        <w:tc>
          <w:tcPr>
            <w:tcW w:type="dxa" w:w="170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Base de datos</w:t>
            </w:r>
          </w:p>
        </w:tc>
        <w:tc>
          <w:tcPr>
            <w:tcW w:type="dxa" w:w="204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PostgreSQL</w:t>
            </w:r>
          </w:p>
        </w:tc>
        <w:tc>
          <w:tcPr>
            <w:tcW w:type="dxa" w:w="3515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Persistencia de clientes, cotizaciones, ítems, documentos y usuarios.</w:t>
            </w:r>
          </w:p>
        </w:tc>
        <w:tc>
          <w:tcPr>
            <w:tcW w:type="dxa" w:w="153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Ignacio Gonzalez</w:t>
            </w:r>
          </w:p>
        </w:tc>
      </w:tr>
      <w:tr>
        <w:tc>
          <w:tcPr>
            <w:tcW w:type="dxa" w:w="170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Google Drive API</w:t>
            </w:r>
          </w:p>
        </w:tc>
        <w:tc>
          <w:tcPr>
            <w:tcW w:type="dxa" w:w="204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Servicio externo</w:t>
            </w:r>
          </w:p>
        </w:tc>
        <w:tc>
          <w:tcPr>
            <w:tcW w:type="dxa" w:w="3515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Origen de los PDF; acceso de solo lectura con cuenta de servicio.</w:t>
            </w:r>
          </w:p>
        </w:tc>
        <w:tc>
          <w:tcPr>
            <w:tcW w:type="dxa" w:w="153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Servicio de IA</w:t>
            </w:r>
          </w:p>
        </w:tc>
        <w:tc>
          <w:tcPr>
            <w:tcW w:type="dxa" w:w="204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Servicio externo</w:t>
            </w:r>
          </w:p>
        </w:tc>
        <w:tc>
          <w:tcPr>
            <w:tcW w:type="dxa" w:w="3515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Respaldo de la extracción cuando las reglas no bastan.</w:t>
            </w:r>
          </w:p>
        </w:tc>
        <w:tc>
          <w:tcPr>
            <w:tcW w:type="dxa" w:w="1531"/>
          </w:tcPr>
          <w:p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—</w:t>
            </w:r>
          </w:p>
        </w:tc>
      </w:tr>
    </w:tbl>
    <w:p>
      <w:pPr/>
    </w:p>
    <w:p>
      <w:pPr/>
      <w:r>
        <w:rPr>
          <w:b w:val="0"/>
        </w:rPr>
        <w:t>El frontend se comunica con la API solo por HTTPS y JSON, según el contrato de SRC/docs/contrato-api.md. El proceso de ingesta y la API pueden ejecutarse en el mismo servidor; se separan en el diagrama porque tienen ciclos de vida distintos: la API responde a los usuarios y la ingesta se ejecuta de forma programada.</w:t>
      </w:r>
    </w:p>
    <w:sectPr w:rsidR="00CC4019" w:rsidRPr="00CC4019" w:rsidSect="00C821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AE78A2" w14:textId="77777777" w:rsidR="002237D3" w:rsidRDefault="002237D3" w:rsidP="00893114">
      <w:pPr>
        <w:spacing w:after="0" w:line="240" w:lineRule="auto"/>
      </w:pPr>
      <w:r>
        <w:separator/>
      </w:r>
    </w:p>
  </w:endnote>
  <w:endnote w:type="continuationSeparator" w:id="0">
    <w:p w14:paraId="5460595B" w14:textId="77777777" w:rsidR="002237D3" w:rsidRDefault="002237D3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8F45D6" w14:textId="77777777" w:rsidR="002237D3" w:rsidRDefault="002237D3" w:rsidP="00893114">
      <w:pPr>
        <w:spacing w:after="0" w:line="240" w:lineRule="auto"/>
      </w:pPr>
      <w:r>
        <w:separator/>
      </w:r>
    </w:p>
  </w:footnote>
  <w:footnote w:type="continuationSeparator" w:id="0">
    <w:p w14:paraId="4BE1197D" w14:textId="77777777" w:rsidR="002237D3" w:rsidRDefault="002237D3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41CD21" w14:textId="65505679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hAnsi="Arial" w:cs="Arial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44E06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237D3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501280"/>
    <w:rsid w:val="0051254F"/>
    <w:rsid w:val="005176B1"/>
    <w:rsid w:val="00520512"/>
    <w:rsid w:val="005216A1"/>
    <w:rsid w:val="00555BA9"/>
    <w:rsid w:val="005736D1"/>
    <w:rsid w:val="005A6AD8"/>
    <w:rsid w:val="005B27DB"/>
    <w:rsid w:val="005C7BC8"/>
    <w:rsid w:val="005D5916"/>
    <w:rsid w:val="005D79BE"/>
    <w:rsid w:val="005F23A4"/>
    <w:rsid w:val="005F2656"/>
    <w:rsid w:val="00654110"/>
    <w:rsid w:val="00657AD9"/>
    <w:rsid w:val="00660660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70B20"/>
    <w:rsid w:val="0087640A"/>
    <w:rsid w:val="00893114"/>
    <w:rsid w:val="008A53CF"/>
    <w:rsid w:val="008A7A4D"/>
    <w:rsid w:val="008D5423"/>
    <w:rsid w:val="00934F44"/>
    <w:rsid w:val="009B5747"/>
    <w:rsid w:val="009D2A4F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1051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506"/>
    <w:rsid w:val="00D30738"/>
    <w:rsid w:val="00DB571C"/>
    <w:rsid w:val="00DD3542"/>
    <w:rsid w:val="00F4443B"/>
    <w:rsid w:val="00F610F9"/>
    <w:rsid w:val="00F70285"/>
    <w:rsid w:val="00F9355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53A14"/>
    <w:rsid w:val="00194DF5"/>
    <w:rsid w:val="001B14B7"/>
    <w:rsid w:val="002835FC"/>
    <w:rsid w:val="002C06A7"/>
    <w:rsid w:val="004F7F49"/>
    <w:rsid w:val="0057410B"/>
    <w:rsid w:val="00595623"/>
    <w:rsid w:val="005B27DB"/>
    <w:rsid w:val="006E2FCC"/>
    <w:rsid w:val="00704192"/>
    <w:rsid w:val="00825B36"/>
    <w:rsid w:val="00960213"/>
    <w:rsid w:val="00AE6FE7"/>
    <w:rsid w:val="00BD2436"/>
    <w:rsid w:val="00C47BA2"/>
    <w:rsid w:val="00C5036F"/>
    <w:rsid w:val="00C861E5"/>
    <w:rsid w:val="00CF44FB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2026-10-18</PublishDate>
  <Abstract>Documento de Diseño basado en UML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5</Pages>
  <Words>286</Words>
  <Characters>1507</Characters>
  <Application>Microsoft Office Word</Application>
  <DocSecurity>0</DocSecurity>
  <Lines>125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Cotiza+</dc:subject>
  <dc:creator>Claudio Cornejo</dc:creator>
  <cp:lastModifiedBy>Felipe Antonio Krauss Benavente - (SIGC)</cp:lastModifiedBy>
  <cp:revision>45</cp:revision>
  <dcterms:created xsi:type="dcterms:W3CDTF">2016-01-10T17:41:00Z</dcterms:created>
  <dcterms:modified xsi:type="dcterms:W3CDTF">2026-09-28T19:20:00Z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