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i w:val="0"/>
          <w:color w:val="1F4E79"/>
          <w:sz w:val="20"/>
          <w:caps w:val="true"/>
          <w:spacing w:val="40"/>
        </w:rPr>
        <w:t>INFORMATION SECURITY POLICY</w:t>
      </w:r>
    </w:p>
    <w:p>
      <w:pPr>
        <w:spacing w:after="40"/>
      </w:pPr>
      <w:r>
        <w:rPr>
          <w:b/>
          <w:i w:val="0"/>
          <w:color w:val="1A1A1A"/>
          <w:sz w:val="60"/>
        </w:rPr>
        <w:t>Personal OS</w:t>
      </w:r>
    </w:p>
    <w:p>
      <w:pPr>
        <w:spacing w:after="200"/>
        <w:pBdr>
          <w:bottom w:val="single" w:sz="12" w:space="1" w:color="1F4E79"/>
        </w:pBdr>
      </w:pPr>
      <w:r>
        <w:rPr>
          <w:b w:val="0"/>
          <w:i/>
          <w:color w:val="444B54"/>
          <w:sz w:val="23"/>
        </w:rPr>
        <w:t>Security practices governing the collection, storage, and handling of sensitive financial and personal data.</w:t>
      </w:r>
    </w:p>
    <w:tbl>
      <w:tblPr>
        <w:tblW w:type="auto" w:w="0"/>
        <w:tblLook w:firstColumn="1" w:firstRow="1" w:lastColumn="0" w:lastRow="0" w:noHBand="0" w:noVBand="1" w:val="04A0"/>
      </w:tblPr>
      <w:tblGrid>
        <w:gridCol w:w="4680"/>
        <w:gridCol w:w="4680"/>
      </w:tblGrid>
      <w:tr>
        <w:tc>
          <w:tcPr>
            <w:tcW w:type="dxa" w:w="2448"/>
          </w:tcPr>
          <w:p>
            <w:pPr>
              <w:spacing w:after="60" w:before="60"/>
            </w:pPr>
            <w:r>
              <w:rPr>
                <w:b/>
                <w:i w:val="0"/>
                <w:color w:val="6B7280"/>
                <w:sz w:val="17"/>
                <w:caps w:val="true"/>
                <w:spacing w:val="20"/>
              </w:rPr>
              <w:t>DOCUMENT OWNER</w:t>
            </w:r>
          </w:p>
        </w:tc>
        <w:tc>
          <w:tcPr>
            <w:tcW w:type="dxa" w:w="6912"/>
          </w:tcPr>
          <w:p>
            <w:pPr>
              <w:spacing w:after="60" w:before="60"/>
            </w:pPr>
            <w:r>
              <w:rPr>
                <w:b w:val="0"/>
                <w:i w:val="0"/>
                <w:color w:val="1A1A1A"/>
                <w:sz w:val="20"/>
              </w:rPr>
              <w:t>Max Allaire — Founder &amp; Sole Operator</w:t>
            </w:r>
          </w:p>
        </w:tc>
      </w:tr>
      <w:tr>
        <w:tc>
          <w:tcPr>
            <w:tcW w:type="dxa" w:w="2448"/>
          </w:tcPr>
          <w:p>
            <w:pPr>
              <w:spacing w:after="60" w:before="60"/>
            </w:pPr>
            <w:r>
              <w:rPr>
                <w:b/>
                <w:i w:val="0"/>
                <w:color w:val="6B7280"/>
                <w:sz w:val="17"/>
                <w:caps w:val="true"/>
                <w:spacing w:val="20"/>
              </w:rPr>
              <w:t>SECURITY CONTACT</w:t>
            </w:r>
          </w:p>
        </w:tc>
        <w:tc>
          <w:tcPr>
            <w:tcW w:type="dxa" w:w="6912"/>
          </w:tcPr>
          <w:p>
            <w:pPr>
              <w:spacing w:after="60" w:before="60"/>
            </w:pPr>
            <w:r>
              <w:rPr>
                <w:b w:val="0"/>
                <w:i w:val="0"/>
                <w:color w:val="1A1A1A"/>
                <w:sz w:val="20"/>
              </w:rPr>
              <w:t>max.allaire@gmail.com (actively monitored)</w:t>
            </w:r>
          </w:p>
        </w:tc>
      </w:tr>
      <w:tr>
        <w:tc>
          <w:tcPr>
            <w:tcW w:type="dxa" w:w="2448"/>
          </w:tcPr>
          <w:p>
            <w:pPr>
              <w:spacing w:after="60" w:before="60"/>
            </w:pPr>
            <w:r>
              <w:rPr>
                <w:b/>
                <w:i w:val="0"/>
                <w:color w:val="6B7280"/>
                <w:sz w:val="17"/>
                <w:caps w:val="true"/>
                <w:spacing w:val="20"/>
              </w:rPr>
              <w:t>EFFECTIVE DATE</w:t>
            </w:r>
          </w:p>
        </w:tc>
        <w:tc>
          <w:tcPr>
            <w:tcW w:type="dxa" w:w="6912"/>
          </w:tcPr>
          <w:p>
            <w:pPr>
              <w:spacing w:after="60" w:before="60"/>
            </w:pPr>
            <w:r>
              <w:rPr>
                <w:b w:val="0"/>
                <w:i w:val="0"/>
                <w:color w:val="1A1A1A"/>
                <w:sz w:val="20"/>
              </w:rPr>
              <w:t>June 7, 2026</w:t>
            </w:r>
          </w:p>
        </w:tc>
      </w:tr>
      <w:tr>
        <w:tc>
          <w:tcPr>
            <w:tcW w:type="dxa" w:w="2448"/>
          </w:tcPr>
          <w:p>
            <w:pPr>
              <w:spacing w:after="60" w:before="60"/>
            </w:pPr>
            <w:r>
              <w:rPr>
                <w:b/>
                <w:i w:val="0"/>
                <w:color w:val="6B7280"/>
                <w:sz w:val="17"/>
                <w:caps w:val="true"/>
                <w:spacing w:val="20"/>
              </w:rPr>
              <w:t>REVIEW CADENCE</w:t>
            </w:r>
          </w:p>
        </w:tc>
        <w:tc>
          <w:tcPr>
            <w:tcW w:type="dxa" w:w="6912"/>
          </w:tcPr>
          <w:p>
            <w:pPr>
              <w:spacing w:after="60" w:before="60"/>
            </w:pPr>
            <w:r>
              <w:rPr>
                <w:b w:val="0"/>
                <w:i w:val="0"/>
                <w:color w:val="1A1A1A"/>
                <w:sz w:val="20"/>
              </w:rPr>
              <w:t>Annually, and upon adding any new third-party data integration</w:t>
            </w:r>
          </w:p>
        </w:tc>
      </w:tr>
      <w:tr>
        <w:tc>
          <w:tcPr>
            <w:tcW w:type="dxa" w:w="2448"/>
          </w:tcPr>
          <w:p>
            <w:pPr>
              <w:spacing w:after="60" w:before="60"/>
            </w:pPr>
            <w:r>
              <w:rPr>
                <w:b/>
                <w:i w:val="0"/>
                <w:color w:val="6B7280"/>
                <w:sz w:val="17"/>
                <w:caps w:val="true"/>
                <w:spacing w:val="20"/>
              </w:rPr>
              <w:t>CLASSIFICATION</w:t>
            </w:r>
          </w:p>
        </w:tc>
        <w:tc>
          <w:tcPr>
            <w:tcW w:type="dxa" w:w="6912"/>
          </w:tcPr>
          <w:p>
            <w:pPr>
              <w:spacing w:after="60" w:before="60"/>
            </w:pPr>
            <w:r>
              <w:rPr>
                <w:b w:val="0"/>
                <w:i w:val="0"/>
                <w:color w:val="1A1A1A"/>
                <w:sz w:val="20"/>
              </w:rPr>
              <w:t>Confidential — provided to Plaid compliance</w:t>
            </w:r>
          </w:p>
        </w:tc>
      </w:tr>
    </w:tbl>
    <w:p>
      <w:pPr>
        <w:spacing w:after="80"/>
      </w:pPr>
    </w:p>
    <w:p>
      <w:pPr>
        <w:spacing w:before="280" w:after="100"/>
        <w:pBdr>
          <w:bottom w:val="single" w:sz="6" w:space="1" w:color="BFC7CE"/>
        </w:pBdr>
      </w:pPr>
      <w:r>
        <w:rPr>
          <w:b/>
          <w:i w:val="0"/>
          <w:color w:val="1F4E79"/>
          <w:sz w:val="26"/>
        </w:rPr>
        <w:t xml:space="preserve">1   </w:t>
      </w:r>
      <w:r>
        <w:rPr>
          <w:b/>
          <w:i w:val="0"/>
          <w:color w:val="1A1A1A"/>
          <w:sz w:val="26"/>
        </w:rPr>
        <w:t>Scope &amp; Context</w:t>
      </w:r>
    </w:p>
    <w:p>
      <w:pPr>
        <w:spacing w:after="120"/>
      </w:pPr>
      <w:r>
        <w:rPr>
          <w:b w:val="0"/>
          <w:i w:val="0"/>
          <w:color w:val="1A1A1A"/>
          <w:sz w:val="21"/>
        </w:rPr>
        <w:t>Personal OS is a single-user personal finance and health dashboard operated solely by its founder. There are no other employees, contractors, or end-users with access to the system or its data. This policy documents the security practices operationalized in the application and its infrastructure to identify, mitigate, and monitor information security risks relevant to the business.</w:t>
      </w:r>
    </w:p>
    <w:p>
      <w:pPr>
        <w:spacing w:before="280" w:after="100"/>
        <w:pBdr>
          <w:bottom w:val="single" w:sz="6" w:space="1" w:color="BFC7CE"/>
        </w:pBdr>
      </w:pPr>
      <w:r>
        <w:rPr>
          <w:b/>
          <w:i w:val="0"/>
          <w:color w:val="1F4E79"/>
          <w:sz w:val="26"/>
        </w:rPr>
        <w:t xml:space="preserve">2   </w:t>
      </w:r>
      <w:r>
        <w:rPr>
          <w:b/>
          <w:i w:val="0"/>
          <w:color w:val="1A1A1A"/>
          <w:sz w:val="26"/>
        </w:rPr>
        <w:t>Governance &amp; Risk Management</w:t>
      </w:r>
    </w:p>
    <w:p>
      <w:pPr>
        <w:pStyle w:val="ListBullet"/>
        <w:spacing w:after="80" w:line="276" w:lineRule="auto"/>
      </w:pPr>
      <w:r>
        <w:rPr>
          <w:b/>
          <w:i w:val="0"/>
          <w:color w:val="1F4E79"/>
          <w:sz w:val="21"/>
        </w:rPr>
        <w:t xml:space="preserve">Accountability. </w:t>
      </w:r>
      <w:r>
        <w:rPr>
          <w:b w:val="0"/>
          <w:i w:val="0"/>
          <w:color w:val="1A1A1A"/>
          <w:sz w:val="21"/>
        </w:rPr>
        <w:t>The founder is solely responsible for information security, infrastructure, and incident response.</w:t>
      </w:r>
    </w:p>
    <w:p>
      <w:pPr>
        <w:pStyle w:val="ListBullet"/>
        <w:spacing w:after="80" w:line="276" w:lineRule="auto"/>
      </w:pPr>
      <w:r>
        <w:rPr>
          <w:b/>
          <w:i w:val="0"/>
          <w:color w:val="1F4E79"/>
          <w:sz w:val="21"/>
        </w:rPr>
        <w:t xml:space="preserve">Deliberate integration scoping. </w:t>
      </w:r>
      <w:r>
        <w:rPr>
          <w:b w:val="0"/>
          <w:i w:val="0"/>
          <w:color w:val="1A1A1A"/>
          <w:sz w:val="21"/>
        </w:rPr>
        <w:t>Third-party data integrations are added deliberately, each limited to the minimum data products required. The Plaid integration is restricted to the transactions product only — Auth, Identity, and Income are not enabled.</w:t>
      </w:r>
    </w:p>
    <w:p>
      <w:pPr>
        <w:pStyle w:val="ListBullet"/>
        <w:spacing w:after="80" w:line="276" w:lineRule="auto"/>
      </w:pPr>
      <w:r>
        <w:rPr>
          <w:b/>
          <w:i w:val="0"/>
          <w:color w:val="1F4E79"/>
          <w:sz w:val="21"/>
        </w:rPr>
        <w:t xml:space="preserve">Pre-enablement review. </w:t>
      </w:r>
      <w:r>
        <w:rPr>
          <w:b w:val="0"/>
          <w:i w:val="0"/>
          <w:color w:val="1A1A1A"/>
          <w:sz w:val="21"/>
        </w:rPr>
        <w:t>Before any integration handling sensitive data is enabled, its credential storage, access scoping, and data-handling path are reviewed against this policy.</w:t>
      </w:r>
    </w:p>
    <w:p>
      <w:pPr>
        <w:spacing w:before="280" w:after="100"/>
        <w:pBdr>
          <w:bottom w:val="single" w:sz="6" w:space="1" w:color="BFC7CE"/>
        </w:pBdr>
      </w:pPr>
      <w:r>
        <w:rPr>
          <w:b/>
          <w:i w:val="0"/>
          <w:color w:val="1F4E79"/>
          <w:sz w:val="26"/>
        </w:rPr>
        <w:t xml:space="preserve">3   </w:t>
      </w:r>
      <w:r>
        <w:rPr>
          <w:b/>
          <w:i w:val="0"/>
          <w:color w:val="1A1A1A"/>
          <w:sz w:val="26"/>
        </w:rPr>
        <w:t>Identity &amp; Access Management</w:t>
      </w:r>
    </w:p>
    <w:p>
      <w:pPr>
        <w:pStyle w:val="ListBullet"/>
        <w:spacing w:after="80" w:line="276" w:lineRule="auto"/>
      </w:pPr>
      <w:r>
        <w:rPr>
          <w:b/>
          <w:i w:val="0"/>
          <w:color w:val="1F4E79"/>
          <w:sz w:val="21"/>
        </w:rPr>
        <w:t xml:space="preserve">Single authorized operator. </w:t>
      </w:r>
      <w:r>
        <w:rPr>
          <w:b w:val="0"/>
          <w:i w:val="0"/>
          <w:color w:val="1A1A1A"/>
          <w:sz w:val="21"/>
        </w:rPr>
        <w:t>Only the founder has access to production systems and data. No shared credentials are used.</w:t>
      </w:r>
    </w:p>
    <w:p>
      <w:pPr>
        <w:pStyle w:val="ListBullet"/>
        <w:spacing w:after="80" w:line="276" w:lineRule="auto"/>
      </w:pPr>
      <w:r>
        <w:rPr>
          <w:b/>
          <w:i w:val="0"/>
          <w:color w:val="1F4E79"/>
          <w:sz w:val="21"/>
        </w:rPr>
        <w:t xml:space="preserve">Multi-factor authentication. </w:t>
      </w:r>
      <w:r>
        <w:rPr>
          <w:b w:val="0"/>
          <w:i w:val="0"/>
          <w:color w:val="1A1A1A"/>
          <w:sz w:val="21"/>
        </w:rPr>
        <w:t>MFA is enabled on all administrative cloud accounts that can reach production assets or secrets: the hosting platform (Vercel), the database and authentication platform (Supabase), and source control (GitHub).</w:t>
      </w:r>
    </w:p>
    <w:p>
      <w:pPr>
        <w:pStyle w:val="ListBullet"/>
        <w:spacing w:after="80" w:line="276" w:lineRule="auto"/>
      </w:pPr>
      <w:r>
        <w:rPr>
          <w:b/>
          <w:i w:val="0"/>
          <w:color w:val="1F4E79"/>
          <w:sz w:val="21"/>
        </w:rPr>
        <w:t xml:space="preserve">Least privilege. </w:t>
      </w:r>
      <w:r>
        <w:rPr>
          <w:b w:val="0"/>
          <w:i w:val="0"/>
          <w:color w:val="1A1A1A"/>
          <w:sz w:val="21"/>
        </w:rPr>
        <w:t>The high-privilege database service-role credential is used only in trusted server-side contexts and is never exposed to the client. Routine application data access runs under per-user, row-level-scoped credentials.</w:t>
      </w:r>
    </w:p>
    <w:p>
      <w:pPr>
        <w:pStyle w:val="ListBullet"/>
        <w:spacing w:after="80" w:line="276" w:lineRule="auto"/>
      </w:pPr>
      <w:r>
        <w:rPr>
          <w:b/>
          <w:i w:val="0"/>
          <w:color w:val="1F4E79"/>
          <w:sz w:val="21"/>
        </w:rPr>
        <w:t xml:space="preserve">End-user authentication. </w:t>
      </w:r>
      <w:r>
        <w:rPr>
          <w:b w:val="0"/>
          <w:i w:val="0"/>
          <w:color w:val="1A1A1A"/>
          <w:sz w:val="21"/>
        </w:rPr>
        <w:t>Application access is gated behind passwordless email magic-link authentication before any sensitive surface — including the Plaid Link flow — is reachable.</w:t>
      </w:r>
    </w:p>
    <w:p>
      <w:pPr>
        <w:spacing w:before="280" w:after="100"/>
        <w:pBdr>
          <w:bottom w:val="single" w:sz="6" w:space="1" w:color="BFC7CE"/>
        </w:pBdr>
      </w:pPr>
      <w:r>
        <w:rPr>
          <w:b/>
          <w:i w:val="0"/>
          <w:color w:val="1F4E79"/>
          <w:sz w:val="26"/>
        </w:rPr>
        <w:t xml:space="preserve">4   </w:t>
      </w:r>
      <w:r>
        <w:rPr>
          <w:b/>
          <w:i w:val="0"/>
          <w:color w:val="1A1A1A"/>
          <w:sz w:val="26"/>
        </w:rPr>
        <w:t>Data Protection</w:t>
      </w:r>
    </w:p>
    <w:p>
      <w:pPr>
        <w:pStyle w:val="ListBullet"/>
        <w:spacing w:after="80" w:line="276" w:lineRule="auto"/>
      </w:pPr>
      <w:r>
        <w:rPr>
          <w:b/>
          <w:i w:val="0"/>
          <w:color w:val="1F4E79"/>
          <w:sz w:val="21"/>
        </w:rPr>
        <w:t xml:space="preserve">Encryption in transit. </w:t>
      </w:r>
      <w:r>
        <w:rPr>
          <w:b w:val="0"/>
          <w:i w:val="0"/>
          <w:color w:val="1A1A1A"/>
          <w:sz w:val="21"/>
        </w:rPr>
        <w:t>All traffic is served exclusively over HTTPS/TLS.</w:t>
      </w:r>
    </w:p>
    <w:p>
      <w:pPr>
        <w:pStyle w:val="ListBullet"/>
        <w:spacing w:after="80" w:line="276" w:lineRule="auto"/>
      </w:pPr>
      <w:r>
        <w:rPr>
          <w:b/>
          <w:i w:val="0"/>
          <w:color w:val="1F4E79"/>
          <w:sz w:val="21"/>
        </w:rPr>
        <w:t xml:space="preserve">Encryption at rest. </w:t>
      </w:r>
      <w:r>
        <w:rPr>
          <w:b w:val="0"/>
          <w:i w:val="0"/>
          <w:color w:val="1A1A1A"/>
          <w:sz w:val="21"/>
        </w:rPr>
        <w:t>Third-party access tokens and other sensitive credentials are encrypted at rest using AES-256-GCM authenticated encryption, with a unique random initialization vector and authentication tag per record. Encryption keys are held only as environment secrets and are never committed to source control.</w:t>
      </w:r>
    </w:p>
    <w:p>
      <w:pPr>
        <w:pStyle w:val="ListBullet"/>
        <w:spacing w:after="80" w:line="276" w:lineRule="auto"/>
      </w:pPr>
      <w:r>
        <w:rPr>
          <w:b/>
          <w:i w:val="0"/>
          <w:color w:val="1F4E79"/>
          <w:sz w:val="21"/>
        </w:rPr>
        <w:t xml:space="preserve">Row-Level Security. </w:t>
      </w:r>
      <w:r>
        <w:rPr>
          <w:b w:val="0"/>
          <w:i w:val="0"/>
          <w:color w:val="1A1A1A"/>
          <w:sz w:val="21"/>
        </w:rPr>
        <w:t>Every database table enforces row-level security policies so that data is isolated to its owning user. Server-side jobs that bypass these policies (scheduled syncs, webhooks) explicitly scope every read and write by user identity.</w:t>
      </w:r>
    </w:p>
    <w:p>
      <w:pPr>
        <w:pStyle w:val="ListBullet"/>
        <w:spacing w:after="80" w:line="276" w:lineRule="auto"/>
      </w:pPr>
      <w:r>
        <w:rPr>
          <w:b/>
          <w:i w:val="0"/>
          <w:color w:val="1F4E79"/>
          <w:sz w:val="21"/>
        </w:rPr>
        <w:t xml:space="preserve">Financial data minimization. </w:t>
      </w:r>
      <w:r>
        <w:rPr>
          <w:b w:val="0"/>
          <w:i w:val="0"/>
          <w:color w:val="1A1A1A"/>
          <w:sz w:val="21"/>
        </w:rPr>
        <w:t>Account balances and transactions are treated as the most sensitive data class. Financial PII — amounts, merchant names, account numbers, and raw provider payloads — is never written to application logs, error records, or observability tooling; only counts and stage tags are logged.</w:t>
      </w:r>
    </w:p>
    <w:p>
      <w:pPr>
        <w:pStyle w:val="ListBullet"/>
        <w:spacing w:after="80" w:line="276" w:lineRule="auto"/>
      </w:pPr>
      <w:r>
        <w:rPr>
          <w:b/>
          <w:i w:val="0"/>
          <w:color w:val="1F4E79"/>
          <w:sz w:val="21"/>
        </w:rPr>
        <w:t xml:space="preserve">Secrets management. </w:t>
      </w:r>
      <w:r>
        <w:rPr>
          <w:b w:val="0"/>
          <w:i w:val="0"/>
          <w:color w:val="1A1A1A"/>
          <w:sz w:val="21"/>
        </w:rPr>
        <w:t>All API keys, secrets, and encryption keys are stored as platform environment variables (server-side only). No secrets are hard-coded or committed to the repository.</w:t>
      </w:r>
    </w:p>
    <w:p>
      <w:pPr>
        <w:spacing w:before="280" w:after="100"/>
        <w:pBdr>
          <w:bottom w:val="single" w:sz="6" w:space="1" w:color="BFC7CE"/>
        </w:pBdr>
      </w:pPr>
      <w:r>
        <w:rPr>
          <w:b/>
          <w:i w:val="0"/>
          <w:color w:val="1F4E79"/>
          <w:sz w:val="26"/>
        </w:rPr>
        <w:t xml:space="preserve">5   </w:t>
      </w:r>
      <w:r>
        <w:rPr>
          <w:b/>
          <w:i w:val="0"/>
          <w:color w:val="1A1A1A"/>
          <w:sz w:val="26"/>
        </w:rPr>
        <w:t>Application Security</w:t>
      </w:r>
    </w:p>
    <w:p>
      <w:pPr>
        <w:pStyle w:val="ListBullet"/>
        <w:spacing w:after="80" w:line="276" w:lineRule="auto"/>
      </w:pPr>
      <w:r>
        <w:rPr>
          <w:b/>
          <w:i w:val="0"/>
          <w:color w:val="1F4E79"/>
          <w:sz w:val="21"/>
        </w:rPr>
        <w:t xml:space="preserve">Input validation. </w:t>
      </w:r>
      <w:r>
        <w:rPr>
          <w:b w:val="0"/>
          <w:i w:val="0"/>
          <w:color w:val="1A1A1A"/>
          <w:sz w:val="21"/>
        </w:rPr>
        <w:t>Inputs are validated at trust boundaries, and parameterized database queries are used exclusively — no string-interpolated SQL.</w:t>
      </w:r>
    </w:p>
    <w:p>
      <w:pPr>
        <w:pStyle w:val="ListBullet"/>
        <w:spacing w:after="80" w:line="276" w:lineRule="auto"/>
      </w:pPr>
      <w:r>
        <w:rPr>
          <w:b/>
          <w:i w:val="0"/>
          <w:color w:val="1F4E79"/>
          <w:sz w:val="21"/>
        </w:rPr>
        <w:t xml:space="preserve">Webhook verification. </w:t>
      </w:r>
      <w:r>
        <w:rPr>
          <w:b w:val="0"/>
          <w:i w:val="0"/>
          <w:color w:val="1A1A1A"/>
          <w:sz w:val="21"/>
        </w:rPr>
        <w:t>Inbound webhooks carrying financial data are cryptographically verified (signature validation, timestamp-freshness checks, and constant-time body-hash comparison) before any action is taken. Unverified requests are rejected without a data write.</w:t>
      </w:r>
    </w:p>
    <w:p>
      <w:pPr>
        <w:pStyle w:val="ListBullet"/>
        <w:spacing w:after="80" w:line="276" w:lineRule="auto"/>
      </w:pPr>
      <w:r>
        <w:rPr>
          <w:b/>
          <w:i w:val="0"/>
          <w:color w:val="1F4E79"/>
          <w:sz w:val="21"/>
        </w:rPr>
        <w:t xml:space="preserve">Token handling. </w:t>
      </w:r>
      <w:r>
        <w:rPr>
          <w:b w:val="0"/>
          <w:i w:val="0"/>
          <w:color w:val="1A1A1A"/>
          <w:sz w:val="21"/>
        </w:rPr>
        <w:t>Provider access tokens are decrypted only in-memory at the moment of use and are never returned to the client.</w:t>
      </w:r>
    </w:p>
    <w:p>
      <w:pPr>
        <w:spacing w:before="280" w:after="100"/>
        <w:pBdr>
          <w:bottom w:val="single" w:sz="6" w:space="1" w:color="BFC7CE"/>
        </w:pBdr>
      </w:pPr>
      <w:r>
        <w:rPr>
          <w:b/>
          <w:i w:val="0"/>
          <w:color w:val="1F4E79"/>
          <w:sz w:val="26"/>
        </w:rPr>
        <w:t xml:space="preserve">6   </w:t>
      </w:r>
      <w:r>
        <w:rPr>
          <w:b/>
          <w:i w:val="0"/>
          <w:color w:val="1A1A1A"/>
          <w:sz w:val="26"/>
        </w:rPr>
        <w:t>Monitoring &amp; Logging</w:t>
      </w:r>
    </w:p>
    <w:p>
      <w:pPr>
        <w:pStyle w:val="ListBullet"/>
        <w:spacing w:after="80" w:line="276" w:lineRule="auto"/>
      </w:pPr>
      <w:r>
        <w:rPr>
          <w:b/>
          <w:i w:val="0"/>
          <w:color w:val="1F4E79"/>
          <w:sz w:val="21"/>
        </w:rPr>
        <w:t xml:space="preserve">Observability. </w:t>
      </w:r>
      <w:r>
        <w:rPr>
          <w:b w:val="0"/>
          <w:i w:val="0"/>
          <w:color w:val="1A1A1A"/>
          <w:sz w:val="21"/>
        </w:rPr>
        <w:t>Integration sync runs and error events are recorded in a dedicated observability layer (with financial PII excluded) to detect failures and anomalous behavior.</w:t>
      </w:r>
    </w:p>
    <w:p>
      <w:pPr>
        <w:pStyle w:val="ListBullet"/>
        <w:spacing w:after="80" w:line="276" w:lineRule="auto"/>
      </w:pPr>
      <w:r>
        <w:rPr>
          <w:b/>
          <w:i w:val="0"/>
          <w:color w:val="1F4E79"/>
          <w:sz w:val="21"/>
        </w:rPr>
        <w:t xml:space="preserve">Platform logs. </w:t>
      </w:r>
      <w:r>
        <w:rPr>
          <w:b w:val="0"/>
          <w:i w:val="0"/>
          <w:color w:val="1A1A1A"/>
          <w:sz w:val="21"/>
        </w:rPr>
        <w:t>Application and infrastructure logs are available through the hosting and database platforms.</w:t>
      </w:r>
    </w:p>
    <w:p>
      <w:pPr>
        <w:spacing w:before="280" w:after="100"/>
        <w:pBdr>
          <w:bottom w:val="single" w:sz="6" w:space="1" w:color="BFC7CE"/>
        </w:pBdr>
      </w:pPr>
      <w:r>
        <w:rPr>
          <w:b/>
          <w:i w:val="0"/>
          <w:color w:val="1F4E79"/>
          <w:sz w:val="26"/>
        </w:rPr>
        <w:t xml:space="preserve">7   </w:t>
      </w:r>
      <w:r>
        <w:rPr>
          <w:b/>
          <w:i w:val="0"/>
          <w:color w:val="1A1A1A"/>
          <w:sz w:val="26"/>
        </w:rPr>
        <w:t>Vendor &amp; Infrastructure Security</w:t>
      </w:r>
    </w:p>
    <w:p>
      <w:pPr>
        <w:spacing w:after="120"/>
      </w:pPr>
      <w:r>
        <w:rPr>
          <w:b w:val="0"/>
          <w:i w:val="0"/>
          <w:color w:val="1A1A1A"/>
          <w:sz w:val="21"/>
        </w:rPr>
        <w:t>Infrastructure is built on established, SOC-2-compliant platforms: Vercel (application hosting) and Supabase (managed PostgreSQL, authentication, and storage). The application relies on these providers' physical, network, and platform security controls.</w:t>
      </w:r>
    </w:p>
    <w:p>
      <w:pPr>
        <w:spacing w:before="280" w:after="100"/>
        <w:pBdr>
          <w:bottom w:val="single" w:sz="6" w:space="1" w:color="BFC7CE"/>
        </w:pBdr>
      </w:pPr>
      <w:r>
        <w:rPr>
          <w:b/>
          <w:i w:val="0"/>
          <w:color w:val="1F4E79"/>
          <w:sz w:val="26"/>
        </w:rPr>
        <w:t xml:space="preserve">8   </w:t>
      </w:r>
      <w:r>
        <w:rPr>
          <w:b/>
          <w:i w:val="0"/>
          <w:color w:val="1A1A1A"/>
          <w:sz w:val="26"/>
        </w:rPr>
        <w:t>Incident Response</w:t>
      </w:r>
    </w:p>
    <w:p>
      <w:pPr>
        <w:spacing w:after="120"/>
      </w:pPr>
      <w:r>
        <w:rPr>
          <w:b w:val="0"/>
          <w:i w:val="0"/>
          <w:color w:val="1A1A1A"/>
          <w:sz w:val="21"/>
        </w:rPr>
        <w:t>In the event of a suspected credential compromise, the affected secrets and access tokens are rotated immediately, the relevant provider integration is revoked or disconnected, and affected linked items are re-authenticated. Because the system is single-user, the operator is both the detector and the responder; there is no third-party data exposure surface beyond the operator's own accounts.</w:t>
      </w:r>
    </w:p>
    <w:p>
      <w:pPr>
        <w:spacing w:before="280" w:after="100"/>
        <w:pBdr>
          <w:bottom w:val="single" w:sz="6" w:space="1" w:color="BFC7CE"/>
        </w:pBdr>
      </w:pPr>
      <w:r>
        <w:rPr>
          <w:b/>
          <w:i w:val="0"/>
          <w:color w:val="1F4E79"/>
          <w:sz w:val="26"/>
        </w:rPr>
        <w:t xml:space="preserve">9   </w:t>
      </w:r>
      <w:r>
        <w:rPr>
          <w:b/>
          <w:i w:val="0"/>
          <w:color w:val="1A1A1A"/>
          <w:sz w:val="26"/>
        </w:rPr>
        <w:t>Data Retention &amp; Deletion</w:t>
      </w:r>
    </w:p>
    <w:p>
      <w:pPr>
        <w:spacing w:after="120"/>
      </w:pPr>
      <w:r>
        <w:rPr>
          <w:b w:val="0"/>
          <w:i w:val="0"/>
          <w:color w:val="1A1A1A"/>
          <w:sz w:val="21"/>
        </w:rPr>
        <w:t>Disconnecting a third-party integration revokes the provider's access (for example, the Plaid /item/remove call) and deletes the provider-owned data from the application database.</w:t>
      </w:r>
    </w:p>
    <w:p>
      <w:pPr>
        <w:spacing w:before="320"/>
        <w:pBdr>
          <w:top w:val="single" w:sz="6" w:space="6" w:color="BFC7CE"/>
        </w:pBdr>
      </w:pPr>
      <w:r>
        <w:rPr>
          <w:b w:val="0"/>
          <w:i/>
          <w:color w:val="6B7280"/>
          <w:sz w:val="17"/>
        </w:rPr>
        <w:t>This policy reflects the security practices operationalized in the Personal OS application as of the effective date above. It is maintained by the sole operator and reviewed on the cadence stated in the header.</w:t>
      </w:r>
    </w:p>
    <w:sectPr w:rsidR="00FC693F" w:rsidRPr="0006063C" w:rsidSect="00034616">
      <w:footerReference w:type="default" r:id="rId9"/>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b w:val="0"/>
        <w:i w:val="0"/>
        <w:color w:val="6B7280"/>
        <w:sz w:val="16"/>
      </w:rPr>
      <w:t>Personal OS — Information Security Policy   ·   Confidential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Calibri" w:hAnsi="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